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中共特克斯县委员会办公室整体支出绩效自评报告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left="4633" w:leftChars="406" w:hanging="3780" w:hangingChars="1050"/>
        <w:jc w:val="left"/>
        <w:rPr>
          <w:rFonts w:hAnsi="宋体" w:eastAsia="仿宋_GB2312" w:cs="宋体"/>
          <w:kern w:val="0"/>
          <w:sz w:val="36"/>
          <w:szCs w:val="36"/>
        </w:rPr>
      </w:pPr>
      <w:r>
        <w:rPr>
          <w:rFonts w:hint="eastAsia" w:hAnsi="宋体" w:eastAsia="仿宋_GB2312" w:cs="宋体"/>
          <w:kern w:val="0"/>
          <w:sz w:val="36"/>
          <w:szCs w:val="36"/>
        </w:rPr>
        <w:t>部门单位名称（公章）：中共特克斯县委员会办公室</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年4月25日</w:t>
      </w:r>
    </w:p>
    <w:p>
      <w:pPr>
        <w:pStyle w:val="3"/>
        <w:spacing w:before="0" w:after="0" w:line="560" w:lineRule="exact"/>
        <w:ind w:firstLine="723" w:firstLineChars="200"/>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before="0" w:after="0" w:line="560" w:lineRule="exact"/>
        <w:ind w:firstLine="643" w:firstLineChars="200"/>
        <w:rPr>
          <w:rStyle w:val="18"/>
          <w:rFonts w:ascii="仿宋" w:hAnsi="仿宋" w:eastAsia="仿宋"/>
          <w:b/>
          <w:bCs/>
        </w:rPr>
      </w:pPr>
      <w:bookmarkStart w:id="2" w:name="_Toc70450290"/>
      <w:r>
        <w:rPr>
          <w:rStyle w:val="18"/>
          <w:rFonts w:hint="eastAsia" w:ascii="仿宋" w:hAnsi="仿宋" w:eastAsia="仿宋"/>
          <w:b/>
          <w:bCs/>
        </w:rPr>
        <w:t>（一）部门单位基本情况</w:t>
      </w:r>
      <w:bookmarkEnd w:id="2"/>
    </w:p>
    <w:p>
      <w:pPr>
        <w:pStyle w:val="5"/>
        <w:spacing w:before="0" w:after="0" w:line="560" w:lineRule="exact"/>
        <w:ind w:firstLine="562" w:firstLineChars="200"/>
        <w:rPr>
          <w:rStyle w:val="18"/>
          <w:rFonts w:ascii="仿宋" w:hAnsi="仿宋" w:eastAsia="仿宋"/>
          <w:b/>
          <w:bCs/>
        </w:rPr>
      </w:pPr>
      <w:bookmarkStart w:id="3" w:name="_Toc70450291"/>
      <w:r>
        <w:rPr>
          <w:rStyle w:val="18"/>
          <w:rFonts w:ascii="仿宋" w:hAnsi="仿宋" w:eastAsia="仿宋"/>
          <w:b/>
          <w:bCs/>
        </w:rPr>
        <w:t>1</w:t>
      </w:r>
      <w:r>
        <w:rPr>
          <w:rStyle w:val="18"/>
          <w:rFonts w:hint="eastAsia" w:ascii="仿宋" w:hAnsi="仿宋" w:eastAsia="仿宋"/>
          <w:b/>
          <w:bCs/>
        </w:rPr>
        <w:t>、主要职能</w:t>
      </w:r>
      <w:bookmarkEnd w:id="3"/>
      <w:bookmarkStart w:id="4" w:name="_Toc70450292"/>
    </w:p>
    <w:p>
      <w:pPr>
        <w:pStyle w:val="5"/>
        <w:spacing w:before="0" w:after="0" w:line="560" w:lineRule="exact"/>
        <w:ind w:firstLine="560" w:firstLineChars="200"/>
        <w:rPr>
          <w:rFonts w:ascii="仿宋_GB2312" w:hAnsi="宋体" w:eastAsia="仿宋_GB2312" w:cs="宋体"/>
          <w:b w:val="0"/>
          <w:kern w:val="0"/>
        </w:rPr>
      </w:pPr>
      <w:r>
        <w:rPr>
          <w:rFonts w:hint="eastAsia" w:ascii="仿宋_GB2312" w:hAnsi="宋体" w:eastAsia="仿宋_GB2312" w:cs="宋体"/>
          <w:b w:val="0"/>
          <w:kern w:val="0"/>
        </w:rPr>
        <w:t>（一）负责县委日常工作的综合协调，承担与特克斯县委各议事协调机构办公室的协调工作。</w:t>
      </w:r>
    </w:p>
    <w:p>
      <w:pPr>
        <w:pStyle w:val="5"/>
        <w:spacing w:before="0" w:after="0" w:line="560" w:lineRule="exact"/>
        <w:ind w:firstLine="560" w:firstLineChars="200"/>
        <w:rPr>
          <w:rFonts w:ascii="仿宋_GB2312" w:hAnsi="宋体" w:eastAsia="仿宋_GB2312" w:cs="宋体"/>
          <w:b w:val="0"/>
          <w:kern w:val="0"/>
        </w:rPr>
      </w:pPr>
      <w:r>
        <w:rPr>
          <w:rFonts w:hint="eastAsia" w:ascii="仿宋_GB2312" w:hAnsi="宋体" w:eastAsia="仿宋_GB2312" w:cs="宋体"/>
          <w:b w:val="0"/>
          <w:kern w:val="0"/>
        </w:rPr>
        <w:t>（二）负责县委日常文电的处理工作，承担县委和县委办公室文件文稿的起草、修改、审核、翻译和制发、立卷、归档工作。</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（三）负责上级党委和县委重要会议、重要文件、重大工作部署，贯彻落实情况的督促坚持，各交办事项的催办落实工作。</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（四）负责全面了解全县稳定、经济与社会发展情况，及时掌握各地各部门重大动态、为县委科学决策发挥参谋助手作用。</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（五）围绕县委总体工作部署，负责全县重要信息的收集处理，及时向上级党委办公厅和县委报送信息。</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（六）负责全县党内规范性合法性审核和法规服务，对上级党委决策部署、党内规范性文件提供法律意见建议。</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（七）围绕县委工作重点，组织实施调查研究。</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（八）负责全县档案事业行政管理，负责特克斯县档案馆重要档案提供利用的审批工作。</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（九）负责县委机关财务管理、安全保卫和后勤保障的协调服务工作。</w:t>
      </w:r>
    </w:p>
    <w:p>
      <w:pPr>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（十）负责开展全面深化改革重点问题的政策研究，统筹协调各项改革工作方案和措施的拟定。</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（十一）负责全县办公自动化和信息化建设的统一规划、协调，负责文秘人员专业培训、业务指导工作。</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（十二）完成县委交办的其他任务。</w:t>
      </w:r>
    </w:p>
    <w:p>
      <w:pPr>
        <w:pStyle w:val="5"/>
        <w:spacing w:before="0" w:after="0" w:line="560" w:lineRule="exact"/>
        <w:ind w:firstLine="562" w:firstLineChars="200"/>
        <w:rPr>
          <w:rStyle w:val="18"/>
          <w:rFonts w:ascii="仿宋" w:hAnsi="仿宋" w:eastAsia="仿宋"/>
          <w:b/>
          <w:bCs/>
        </w:rPr>
      </w:pPr>
      <w:r>
        <w:rPr>
          <w:rStyle w:val="18"/>
          <w:rFonts w:hint="eastAsia" w:ascii="仿宋" w:hAnsi="仿宋" w:eastAsia="仿宋"/>
          <w:b/>
          <w:bCs/>
        </w:rPr>
        <w:t>2、机构人员构成</w:t>
      </w:r>
      <w:bookmarkEnd w:id="4"/>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（1）组织机构设置：</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中共特克斯县委员会办公室的预算包括：中共特克斯县委员会办公室本级预算及下属9家预算单位在内的汇总预算。</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中共特克斯县委员会办公室本级下设2个科室是：</w:t>
      </w:r>
      <w:r>
        <w:rPr>
          <w:rFonts w:hint="eastAsia" w:ascii="仿宋_GB2312" w:hAnsi="宋体" w:eastAsia="仿宋_GB2312" w:cs="宋体"/>
          <w:kern w:val="0"/>
          <w:sz w:val="28"/>
          <w:szCs w:val="28"/>
        </w:rPr>
        <w:t>特克斯县档案馆、特克斯县机要保密中心。</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本部门中，行政单位6家，事业单位4家，纳入中共特克斯县委员会办公室2021年部预算编制范围的二级预算单位包括：</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1、中共特克斯县委员会组织部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2、中共特克斯县委员会宣传部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3、中共特克斯县委统一战线工作部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4、中共特克斯县直机关工作委员会委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5、中国共产主义青年团特克斯县委员会</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6、特克斯县科学技术协会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7、特克斯县委史志办公室 </w:t>
      </w:r>
    </w:p>
    <w:p>
      <w:pPr>
        <w:widowControl/>
        <w:spacing w:line="56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8、特克斯县妇女联合会</w:t>
      </w:r>
    </w:p>
    <w:p>
      <w:pPr>
        <w:spacing w:line="560" w:lineRule="exact"/>
        <w:ind w:firstLine="560" w:firstLineChars="200"/>
        <w:rPr>
          <w:rStyle w:val="18"/>
          <w:rFonts w:asciiTheme="minorEastAsia" w:hAnsiTheme="minorEastAsia"/>
          <w:bCs w:val="0"/>
          <w:color w:val="FF0000"/>
          <w:spacing w:val="-4"/>
          <w:sz w:val="28"/>
          <w:szCs w:val="28"/>
        </w:rPr>
      </w:pPr>
      <w:r>
        <w:rPr>
          <w:rFonts w:hint="eastAsia" w:ascii="仿宋_GB2312" w:hAnsi="宋体" w:eastAsia="仿宋_GB2312" w:cs="宋体"/>
          <w:kern w:val="0"/>
          <w:sz w:val="28"/>
          <w:szCs w:val="28"/>
        </w:rPr>
        <w:t>9、特克斯县工商业联合会</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（2）2021年中共特克斯县委员会办公室实有在职人员为133 人，其中：</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行政在职 63人（上年67人），同比上年减少4人；</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参照在职33人（上年33人），与上年一致；</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事业在职37人(上年50人)，同比上年减少13人；</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实有离休人员0人（上年0人）,与上年一致；</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实有退休人员58人（上年56人）,同比上年增加2人。</w:t>
      </w:r>
      <w:bookmarkStart w:id="5" w:name="_Toc70450293"/>
    </w:p>
    <w:p>
      <w:pPr>
        <w:spacing w:line="560" w:lineRule="exact"/>
        <w:ind w:firstLine="562" w:firstLineChars="200"/>
        <w:rPr>
          <w:rStyle w:val="18"/>
          <w:rFonts w:ascii="仿宋_GB2312" w:hAnsi="楷体" w:eastAsia="仿宋_GB2312"/>
          <w:spacing w:val="-4"/>
          <w:sz w:val="28"/>
          <w:szCs w:val="28"/>
        </w:rPr>
      </w:pPr>
      <w:r>
        <w:rPr>
          <w:rStyle w:val="18"/>
          <w:rFonts w:hint="eastAsia" w:ascii="仿宋_GB2312" w:hAnsi="仿宋" w:eastAsia="仿宋_GB2312"/>
          <w:bCs w:val="0"/>
          <w:sz w:val="28"/>
          <w:szCs w:val="28"/>
        </w:rPr>
        <w:t>3、重点工作计划</w:t>
      </w:r>
      <w:bookmarkEnd w:id="5"/>
    </w:p>
    <w:p>
      <w:pPr>
        <w:spacing w:line="560" w:lineRule="exact"/>
        <w:ind w:firstLine="560" w:firstLineChars="200"/>
        <w:rPr>
          <w:rFonts w:ascii="仿宋_GB2312" w:hAnsi="仿宋_GB2312" w:eastAsia="仿宋_GB2312" w:cs="仿宋_GB2312"/>
          <w:sz w:val="28"/>
          <w:szCs w:val="28"/>
        </w:rPr>
      </w:pPr>
      <w:bookmarkStart w:id="6" w:name="_Toc70450294"/>
      <w:r>
        <w:rPr>
          <w:rFonts w:ascii="仿宋_GB2312" w:hAnsi="仿宋_GB2312" w:eastAsia="仿宋_GB2312" w:cs="仿宋_GB2312"/>
          <w:sz w:val="28"/>
          <w:szCs w:val="28"/>
        </w:rPr>
        <w:t>围绕县委中心工作和县域经济社会发展的重大问题，开展政策性、综合性调查研究，收集、提供信息与建议，为县委决策提供参谋服务。对贯彻落实党的路线、方针、政策中的重大问题及县委领导批办事项进行督促检查和综合协调，加强协调服务，综合协调职能要得到有效发挥。加强机关管理，后勤保障职能要得到全面发挥。</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加强党的组织建设、基层组织党员队伍、人才、公务员队伍建设。指导各级党组织搞好党的思想、组织、作风、制度建设。统筹协调党的意识形态工作、互联网宣传和信息内容管理等工作。组织宣传各级党委统一战线方针、政策，了解特克斯县统一战线工作的情况。</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加强对青少年的思想教育，抓好青少年民族团结教育工作，拓宽青年成长展渠道，主动履行青年工作事务。坚持为妇女儿童服务、协调推动全社会为妇女儿童办实事、办好事。做好特克斯县工商联履行政治</w:t>
      </w:r>
      <w:r>
        <w:rPr>
          <w:rFonts w:hint="eastAsia" w:ascii="仿宋_GB2312" w:hAnsi="仿宋_GB2312" w:eastAsia="仿宋_GB2312" w:cs="仿宋_GB2312"/>
          <w:sz w:val="28"/>
          <w:szCs w:val="28"/>
        </w:rPr>
        <w:t>协</w:t>
      </w:r>
      <w:r>
        <w:rPr>
          <w:rFonts w:ascii="仿宋_GB2312" w:hAnsi="仿宋_GB2312" w:eastAsia="仿宋_GB2312" w:cs="仿宋_GB2312"/>
          <w:sz w:val="28"/>
          <w:szCs w:val="28"/>
        </w:rPr>
        <w:t>商民主监督职能的工作</w:t>
      </w:r>
      <w:r>
        <w:rPr>
          <w:rFonts w:hint="eastAsia" w:ascii="仿宋_GB2312" w:hAnsi="仿宋_GB2312" w:eastAsia="仿宋_GB2312" w:cs="仿宋_GB2312"/>
          <w:sz w:val="28"/>
          <w:szCs w:val="28"/>
        </w:rPr>
        <w:t>和各项基本工作，发挥好职能作用</w:t>
      </w:r>
      <w:r>
        <w:rPr>
          <w:rFonts w:ascii="仿宋_GB2312" w:hAnsi="仿宋_GB2312" w:eastAsia="仿宋_GB2312" w:cs="仿宋_GB2312"/>
          <w:sz w:val="28"/>
          <w:szCs w:val="28"/>
        </w:rPr>
        <w:t>。</w:t>
      </w:r>
    </w:p>
    <w:p>
      <w:pPr>
        <w:spacing w:line="560" w:lineRule="exact"/>
        <w:ind w:firstLine="562" w:firstLineChars="200"/>
        <w:rPr>
          <w:rStyle w:val="18"/>
          <w:rFonts w:ascii="仿宋_GB2312" w:hAnsi="仿宋" w:eastAsia="仿宋_GB2312"/>
          <w:bCs w:val="0"/>
          <w:sz w:val="28"/>
          <w:szCs w:val="28"/>
        </w:rPr>
      </w:pPr>
      <w:r>
        <w:rPr>
          <w:rStyle w:val="18"/>
          <w:rFonts w:hint="eastAsia" w:ascii="仿宋_GB2312" w:hAnsi="仿宋" w:eastAsia="仿宋_GB2312"/>
          <w:bCs w:val="0"/>
          <w:sz w:val="28"/>
          <w:szCs w:val="28"/>
        </w:rPr>
        <w:t>（二）部门单位整体支出规模、</w:t>
      </w:r>
      <w:bookmarkStart w:id="7" w:name="_Hlk70339807"/>
      <w:r>
        <w:rPr>
          <w:rStyle w:val="18"/>
          <w:rFonts w:hint="eastAsia" w:ascii="仿宋_GB2312" w:hAnsi="仿宋" w:eastAsia="仿宋_GB2312"/>
          <w:bCs w:val="0"/>
          <w:sz w:val="28"/>
          <w:szCs w:val="28"/>
        </w:rPr>
        <w:t>使用方法和主要内容、涉及对象及范围等</w:t>
      </w:r>
      <w:bookmarkEnd w:id="6"/>
    </w:p>
    <w:bookmarkEnd w:id="7"/>
    <w:p>
      <w:pPr>
        <w:pStyle w:val="5"/>
        <w:spacing w:before="0" w:after="0" w:line="560" w:lineRule="exact"/>
        <w:ind w:firstLine="562" w:firstLineChars="200"/>
        <w:rPr>
          <w:rStyle w:val="18"/>
          <w:rFonts w:ascii="仿宋_GB2312" w:hAnsi="仿宋" w:eastAsia="仿宋_GB2312"/>
          <w:b/>
          <w:bCs/>
        </w:rPr>
      </w:pPr>
      <w:bookmarkStart w:id="8" w:name="_Toc70450295"/>
      <w:r>
        <w:rPr>
          <w:rStyle w:val="18"/>
          <w:rFonts w:hint="eastAsia" w:ascii="仿宋_GB2312" w:hAnsi="仿宋" w:eastAsia="仿宋_GB2312"/>
          <w:b/>
          <w:bCs/>
        </w:rPr>
        <w:t>1、部门单位整体支出规模</w:t>
      </w:r>
      <w:bookmarkEnd w:id="8"/>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2021年批复我单位预算为3023.44万元，其中：财政拨款为3002.84万元，其他资金收入20.60万元。年中追减资金2120.46万元，调整率41.22%。对比上年2911.1万元增加112.34万元，上升3.86%。</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2021年实际决算支出3023.44万元，执行率100.00%，其中：</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基本支出2846.32万元，占总支出的94.14％，主要用于本单位机构正常运转、完成日常工作任务而发生的各项支出。其中：工资福利支出1892.73万元，主要用于在职和离退休人员基本工资、津贴补贴等人员经费。商品和服务支出513.56万元，主要用于办公费、印刷费、水电费、办公设备购置等。对个人和家庭的补助324.72万元，主要用于引进人才发放安家费、支教公务员生活补助与其他人员生活补助发放。资本性支出115.31万元，主要用于县委办公室购买会议室电子屏、更换会议室话筒。统战部购买柜子等办公家具。组织部购买计算机复印机等办公设备</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项目支出177.12万元，占总支出的5.86％。其中：宗教教职人员生活补助提标项目21.48万元、主要用于完成宗教教职人员生活补助提标。宗教活动场所维修项目8万元，主要用于完成特克斯县乔拉克铁热克镇齐巴尔托布勒格（西）清真寺修缮、清真寺维修项目6万元，主要用于完成对特克斯县阔科铁热克乡莫因台村清真寺、喀拉托海镇阿克卓勒村清真寺、乔拉克铁热克镇萨尔阔布村清真寺、呼吉尔特蒙古乡库尔乌泽克移民清真寺维修。统战业务项目74.86万元主要用于完成宗教教职人员与驻村管寺人员生活补助。AK替代工程建设项目50万元，主要用于完成购置办公设备。基层科普行动项目16.78万元，主要用于完成支持基层科普公共服务能力建设，重点打造新时代文明实践中心，利用多媒体等形式展现科技成果等。</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3</w:t>
      </w:r>
      <w:r>
        <w:rPr>
          <w:rStyle w:val="18"/>
          <w:rFonts w:hint="eastAsia" w:ascii="仿宋_GB2312" w:hAnsi="楷体" w:eastAsia="仿宋_GB2312"/>
          <w:b w:val="0"/>
          <w:spacing w:val="-4"/>
          <w:sz w:val="28"/>
          <w:szCs w:val="28"/>
        </w:rPr>
        <w:t>）本年度重点项目支出177.12万元，重点支出保障率100%。其中重点保障项目是统战项目安排110.34万元，主要用于完成统战人士、驻村</w:t>
      </w:r>
      <w:r>
        <w:rPr>
          <w:rStyle w:val="18"/>
          <w:rFonts w:hint="eastAsia" w:ascii="仿宋_GB2312" w:hAnsi="宋体" w:eastAsia="仿宋_GB2312" w:cs="宋体"/>
          <w:b w:val="0"/>
          <w:spacing w:val="-4"/>
          <w:sz w:val="28"/>
          <w:szCs w:val="28"/>
        </w:rPr>
        <w:t>管寺人员补助与清真寺维修费</w:t>
      </w:r>
      <w:r>
        <w:rPr>
          <w:rStyle w:val="18"/>
          <w:rFonts w:hint="eastAsia" w:ascii="仿宋_GB2312" w:hAnsi="楷体" w:eastAsia="仿宋_GB2312"/>
          <w:b w:val="0"/>
          <w:spacing w:val="-4"/>
          <w:sz w:val="28"/>
          <w:szCs w:val="28"/>
        </w:rPr>
        <w:t>，县委办AK替代工程建设项目安排50万元，主要用于完成购买办公设备。基层科普行动项目安排16.78万元，主要用于支持基层科普公共服务能力建设，重点打造新时代文明实践中心，利用多媒体等形式展现科技成果。</w:t>
      </w:r>
    </w:p>
    <w:p>
      <w:pPr>
        <w:spacing w:line="560" w:lineRule="exact"/>
        <w:ind w:firstLine="544" w:firstLineChars="200"/>
        <w:rPr>
          <w:rStyle w:val="18"/>
          <w:rFonts w:ascii="仿宋_GB2312" w:hAnsi="楷体" w:eastAsia="仿宋_GB2312"/>
          <w:b w:val="0"/>
          <w:spacing w:val="-4"/>
          <w:sz w:val="32"/>
          <w:szCs w:val="32"/>
        </w:rPr>
      </w:pPr>
      <w:r>
        <w:rPr>
          <w:rStyle w:val="18"/>
          <w:rFonts w:hint="eastAsia" w:ascii="仿宋_GB2312" w:hAnsi="楷体" w:eastAsia="仿宋_GB2312"/>
          <w:b w:val="0"/>
          <w:spacing w:val="-4"/>
          <w:sz w:val="28"/>
          <w:szCs w:val="28"/>
        </w:rPr>
        <w:t>（4）</w:t>
      </w:r>
      <w:r>
        <w:rPr>
          <w:rStyle w:val="18"/>
          <w:rFonts w:hint="eastAsia" w:ascii="仿宋_GB2312" w:hAnsi="楷体" w:eastAsia="仿宋_GB2312"/>
          <w:b w:val="0"/>
          <w:bCs w:val="0"/>
          <w:spacing w:val="-4"/>
          <w:sz w:val="28"/>
          <w:szCs w:val="28"/>
        </w:rPr>
        <w:t>本年度我单位无政府采购预算</w:t>
      </w:r>
      <w:r>
        <w:rPr>
          <w:rStyle w:val="18"/>
          <w:rFonts w:hint="eastAsia" w:ascii="仿宋_GB2312" w:hAnsi="楷体" w:eastAsia="仿宋_GB2312"/>
          <w:spacing w:val="-4"/>
          <w:sz w:val="28"/>
          <w:szCs w:val="28"/>
        </w:rPr>
        <w:t>。</w:t>
      </w:r>
    </w:p>
    <w:p>
      <w:pPr>
        <w:pStyle w:val="5"/>
        <w:spacing w:before="0" w:after="0" w:line="560" w:lineRule="exact"/>
        <w:ind w:firstLine="562" w:firstLineChars="200"/>
        <w:rPr>
          <w:rStyle w:val="18"/>
          <w:rFonts w:ascii="仿宋" w:hAnsi="仿宋" w:eastAsia="仿宋"/>
          <w:b/>
          <w:bCs/>
        </w:rPr>
      </w:pPr>
      <w:bookmarkStart w:id="9" w:name="_Toc70450296"/>
      <w:r>
        <w:rPr>
          <w:rStyle w:val="18"/>
          <w:rFonts w:ascii="仿宋" w:hAnsi="仿宋" w:eastAsia="仿宋"/>
          <w:b/>
          <w:bCs/>
        </w:rPr>
        <w:t>2</w:t>
      </w:r>
      <w:r>
        <w:rPr>
          <w:rStyle w:val="18"/>
          <w:rFonts w:hint="eastAsia" w:ascii="仿宋" w:hAnsi="仿宋" w:eastAsia="仿宋"/>
          <w:b/>
          <w:bCs/>
        </w:rPr>
        <w:t>、整体支出评价使用方法和主要内容、涉及对象及范围等</w:t>
      </w:r>
      <w:bookmarkEnd w:id="9"/>
    </w:p>
    <w:p>
      <w:pPr>
        <w:spacing w:line="560" w:lineRule="exact"/>
        <w:ind w:firstLine="560" w:firstLineChars="200"/>
        <w:rPr>
          <w:rStyle w:val="18"/>
          <w:rFonts w:ascii="仿宋_GB2312" w:eastAsia="仿宋_GB2312"/>
          <w:b w:val="0"/>
          <w:bCs w:val="0"/>
          <w:sz w:val="28"/>
          <w:szCs w:val="36"/>
        </w:rPr>
      </w:pPr>
      <w:r>
        <w:rPr>
          <w:rFonts w:hint="eastAsia" w:ascii="仿宋_GB2312" w:eastAsia="仿宋_GB2312"/>
          <w:sz w:val="28"/>
          <w:szCs w:val="36"/>
        </w:rPr>
        <w:t>（1）</w:t>
      </w:r>
      <w:r>
        <w:rPr>
          <w:rStyle w:val="18"/>
          <w:rFonts w:hint="eastAsia" w:ascii="仿宋_GB2312" w:eastAsia="仿宋_GB2312"/>
          <w:b w:val="0"/>
          <w:bCs w:val="0"/>
          <w:sz w:val="28"/>
          <w:szCs w:val="36"/>
        </w:rPr>
        <w:t>整体支出评价使用方法</w:t>
      </w:r>
    </w:p>
    <w:p>
      <w:pPr>
        <w:spacing w:line="560" w:lineRule="exact"/>
        <w:ind w:firstLine="560" w:firstLineChars="200"/>
        <w:rPr>
          <w:rStyle w:val="18"/>
          <w:rFonts w:ascii="仿宋_GB2312" w:eastAsia="仿宋_GB2312" w:hAnsiTheme="minorEastAsia"/>
          <w:b w:val="0"/>
          <w:sz w:val="28"/>
          <w:szCs w:val="28"/>
        </w:rPr>
      </w:pPr>
      <w:r>
        <w:rPr>
          <w:rFonts w:hint="eastAsia" w:ascii="仿宋_GB2312" w:eastAsia="仿宋_GB2312"/>
          <w:bCs/>
          <w:sz w:val="28"/>
          <w:szCs w:val="28"/>
        </w:rPr>
        <w:t>本次项目支出绩效自评采用成本效益分析方法，</w:t>
      </w:r>
      <w:r>
        <w:rPr>
          <w:rStyle w:val="18"/>
          <w:rFonts w:hint="eastAsia" w:ascii="仿宋_GB2312" w:eastAsia="仿宋_GB2312" w:hAnsiTheme="minorEastAsia"/>
          <w:b w:val="0"/>
          <w:sz w:val="28"/>
          <w:szCs w:val="28"/>
        </w:rPr>
        <w:t xml:space="preserve"> 综合指数评价法，</w:t>
      </w:r>
      <w:r>
        <w:rPr>
          <w:rFonts w:hint="eastAsia" w:ascii="仿宋_GB2312" w:eastAsia="仿宋_GB2312"/>
          <w:bCs/>
          <w:sz w:val="28"/>
          <w:szCs w:val="28"/>
        </w:rPr>
        <w:t>成本效益分析方法，</w:t>
      </w:r>
      <w:r>
        <w:rPr>
          <w:rStyle w:val="18"/>
          <w:rFonts w:hint="eastAsia" w:ascii="仿宋_GB2312" w:eastAsia="仿宋_GB2312" w:hAnsiTheme="minorEastAsia"/>
          <w:b w:val="0"/>
          <w:sz w:val="28"/>
          <w:szCs w:val="28"/>
        </w:rPr>
        <w:t>是指将一定时期内总成本与总效益进行对比分析，以评价绩效目标实现程度。综合指数评价法是指把各项绩效指标的实际水平，对照评价标准值，分别计算各项指标评价得分，再按照设定的各项指标权数计算出综合评价得分，分析评价绩效目标实现情况的评价方法。原因是以上两种方法可以确保各部门工作顺利开展，保障机关工作正常高效运转，提高工作人员能力，提高资金使用效益。</w:t>
      </w:r>
    </w:p>
    <w:p>
      <w:pPr>
        <w:spacing w:line="560" w:lineRule="exact"/>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（2）整体支出评价主要内容</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560" w:lineRule="exact"/>
        <w:ind w:firstLine="560" w:firstLineChars="200"/>
        <w:rPr>
          <w:rStyle w:val="18"/>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560" w:lineRule="exact"/>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560" w:lineRule="exact"/>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本次评价对象是中共特克斯县委员会办公室所有财政资金支出活动。</w:t>
      </w:r>
    </w:p>
    <w:p>
      <w:pPr>
        <w:spacing w:line="560" w:lineRule="exact"/>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560" w:lineRule="exact"/>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fldChar w:fldCharType="begin"/>
      </w:r>
      <w:r>
        <w:rPr>
          <w:rStyle w:val="18"/>
          <w:rFonts w:hint="eastAsia" w:ascii="仿宋_GB2312" w:hAnsi="楷体" w:eastAsia="仿宋_GB2312"/>
          <w:b w:val="0"/>
          <w:spacing w:val="-4"/>
          <w:sz w:val="28"/>
          <w:szCs w:val="28"/>
        </w:rPr>
        <w:instrText xml:space="preserve">= 1 \* GB3</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①</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基本支出2846.32万元，其中：工资福利支出、商品和服务支出、对个人和家庭的补助支出、资本性支出。</w:t>
      </w:r>
    </w:p>
    <w:p>
      <w:pPr>
        <w:spacing w:line="560" w:lineRule="exact"/>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fldChar w:fldCharType="begin"/>
      </w:r>
      <w:r>
        <w:rPr>
          <w:rStyle w:val="18"/>
          <w:rFonts w:hint="eastAsia" w:ascii="仿宋_GB2312" w:hAnsi="楷体" w:eastAsia="仿宋_GB2312"/>
          <w:b w:val="0"/>
          <w:spacing w:val="-4"/>
          <w:sz w:val="28"/>
          <w:szCs w:val="28"/>
        </w:rPr>
        <w:instrText xml:space="preserve">= 2 \* GB3</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②</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项目支出177.12万元：宗教教职人员生活补助提标项目、宗教活动场所维修项目、清真寺维修项目、统战业务项目、AK替代工程建设项目、基层科普行动项目。</w:t>
      </w:r>
    </w:p>
    <w:p>
      <w:pPr>
        <w:pStyle w:val="3"/>
        <w:spacing w:before="0" w:after="0" w:line="560" w:lineRule="exact"/>
        <w:ind w:firstLine="723" w:firstLineChars="200"/>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before="0" w:after="0" w:line="560" w:lineRule="exact"/>
        <w:ind w:firstLine="643" w:firstLineChars="200"/>
        <w:rPr>
          <w:rStyle w:val="18"/>
          <w:rFonts w:ascii="仿宋" w:hAnsi="仿宋" w:eastAsia="仿宋"/>
          <w:b/>
          <w:bCs/>
        </w:rPr>
      </w:pPr>
      <w:bookmarkStart w:id="11" w:name="_Toc70450298"/>
      <w:r>
        <w:rPr>
          <w:rStyle w:val="18"/>
          <w:rFonts w:hint="eastAsia" w:ascii="仿宋" w:hAnsi="仿宋" w:eastAsia="仿宋"/>
          <w:b/>
          <w:bCs/>
        </w:rPr>
        <w:t>（一）预算管理</w:t>
      </w:r>
      <w:bookmarkEnd w:id="11"/>
    </w:p>
    <w:p>
      <w:pPr>
        <w:pStyle w:val="5"/>
        <w:spacing w:before="0" w:after="0" w:line="560" w:lineRule="exact"/>
        <w:ind w:firstLine="562" w:firstLineChars="200"/>
        <w:rPr>
          <w:rStyle w:val="18"/>
          <w:rFonts w:ascii="仿宋" w:hAnsi="仿宋" w:eastAsia="仿宋"/>
          <w:b/>
          <w:bCs/>
        </w:rPr>
      </w:pPr>
      <w:bookmarkStart w:id="12" w:name="_Toc70450299"/>
      <w:r>
        <w:rPr>
          <w:rStyle w:val="18"/>
          <w:rFonts w:ascii="仿宋" w:hAnsi="仿宋" w:eastAsia="仿宋"/>
          <w:b/>
          <w:bCs/>
        </w:rPr>
        <w:t>1</w:t>
      </w:r>
      <w:r>
        <w:rPr>
          <w:rStyle w:val="18"/>
          <w:rFonts w:hint="eastAsia" w:ascii="仿宋" w:hAnsi="仿宋" w:eastAsia="仿宋"/>
          <w:b/>
          <w:bCs/>
        </w:rPr>
        <w:t>、预算编制管理</w:t>
      </w:r>
      <w:bookmarkEnd w:id="12"/>
    </w:p>
    <w:p>
      <w:pPr>
        <w:spacing w:line="560" w:lineRule="exact"/>
        <w:ind w:firstLine="560" w:firstLineChars="200"/>
        <w:rPr>
          <w:rStyle w:val="18"/>
          <w:rFonts w:ascii="仿宋_GB2312" w:eastAsia="仿宋_GB2312" w:hAnsiTheme="minorEastAsia"/>
          <w:spacing w:val="-4"/>
          <w:sz w:val="28"/>
          <w:szCs w:val="28"/>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财政要求，部门预算及绩效目标在特克斯县公共信息网公开，</w:t>
      </w:r>
      <w:r>
        <w:rPr>
          <w:rFonts w:hint="eastAsia" w:ascii="仿宋_GB2312" w:eastAsia="仿宋_GB2312"/>
          <w:sz w:val="28"/>
          <w:szCs w:val="36"/>
          <w:lang w:val="zh-CN"/>
        </w:rPr>
        <w:t>广泛接受社会监督</w:t>
      </w:r>
      <w:r>
        <w:rPr>
          <w:rStyle w:val="18"/>
          <w:rFonts w:hint="eastAsia" w:ascii="仿宋_GB2312" w:eastAsia="仿宋_GB2312" w:hAnsiTheme="minorEastAsia"/>
          <w:spacing w:val="-4"/>
          <w:sz w:val="28"/>
          <w:szCs w:val="28"/>
        </w:rPr>
        <w:t>。</w:t>
      </w:r>
    </w:p>
    <w:p>
      <w:pPr>
        <w:pStyle w:val="5"/>
        <w:spacing w:before="0" w:after="0" w:line="560" w:lineRule="exact"/>
        <w:ind w:firstLine="562" w:firstLineChars="200"/>
        <w:rPr>
          <w:rStyle w:val="18"/>
          <w:rFonts w:ascii="仿宋" w:hAnsi="仿宋" w:eastAsia="仿宋"/>
          <w:b/>
          <w:bCs/>
        </w:rPr>
      </w:pPr>
      <w:bookmarkStart w:id="13"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3"/>
    </w:p>
    <w:p>
      <w:pPr>
        <w:spacing w:line="560" w:lineRule="exact"/>
        <w:ind w:firstLine="560" w:firstLineChars="200"/>
        <w:rPr>
          <w:rStyle w:val="18"/>
          <w:b w:val="0"/>
          <w:bCs w:val="0"/>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中共特克斯县委员会办公室财务管理相关规定和中共特克斯县委员会办公室内控规定流程，资金支出按照我内控体系中设定的流程申报审批进行；项目支出属于政府采购的，按照中共特克斯县委员会办公室《采购与招标管理办法》组织人员制定采购计划，按照财政局采购部门批复，进行公开招标、邀请招标等方式进行；属于非政府采购的项目，按照“三重一大”制度规定，重大项目支出上办公室主任会议研究决定。</w:t>
      </w:r>
    </w:p>
    <w:p>
      <w:pPr>
        <w:pStyle w:val="4"/>
        <w:spacing w:before="0" w:after="0" w:line="560" w:lineRule="exact"/>
        <w:ind w:firstLine="562" w:firstLineChars="200"/>
        <w:rPr>
          <w:rStyle w:val="18"/>
          <w:b/>
          <w:bCs/>
          <w:sz w:val="28"/>
          <w:szCs w:val="28"/>
        </w:rPr>
      </w:pPr>
      <w:bookmarkStart w:id="14" w:name="_Toc70450301"/>
      <w:r>
        <w:rPr>
          <w:rStyle w:val="18"/>
          <w:rFonts w:hint="eastAsia"/>
          <w:b/>
          <w:bCs/>
          <w:sz w:val="28"/>
          <w:szCs w:val="28"/>
        </w:rPr>
        <w:t>（二）基本支出管理及使用情况</w:t>
      </w:r>
      <w:bookmarkEnd w:id="14"/>
    </w:p>
    <w:p>
      <w:pPr>
        <w:pStyle w:val="31"/>
        <w:spacing w:line="560" w:lineRule="exact"/>
        <w:ind w:firstLine="544" w:firstLineChars="200"/>
        <w:jc w:val="both"/>
        <w:rPr>
          <w:rStyle w:val="18"/>
          <w:rFonts w:cs="仿宋_GB2312"/>
          <w:b w:val="0"/>
          <w:bCs w:val="0"/>
          <w:sz w:val="28"/>
          <w:szCs w:val="28"/>
        </w:rPr>
      </w:pPr>
      <w:r>
        <w:rPr>
          <w:rStyle w:val="18"/>
          <w:rFonts w:hint="eastAsia" w:hAnsi="楷体"/>
          <w:b w:val="0"/>
          <w:spacing w:val="-4"/>
          <w:sz w:val="28"/>
          <w:szCs w:val="28"/>
        </w:rPr>
        <w:t>2021年基本支出预算安排2846.32万元，实际到位2846.32万元,实际支出2846.32万元，占总支出的94.14％，其中：工资福利支出1892.73万元、商品和服务支出513.56万元、对个人和家庭的补助324.72万元、主要用于</w:t>
      </w:r>
      <w:r>
        <w:rPr>
          <w:rFonts w:hint="eastAsia" w:cs="仿宋_GB2312"/>
          <w:sz w:val="28"/>
          <w:szCs w:val="28"/>
        </w:rPr>
        <w:t>人员基本工资、津贴补贴、基本养老保险缴费支出、基本医疗保险支出、住房公积金、生活补助等。公用经费主要包括：办公费、印刷费、咨询费、手续费、水费、电费、邮电费、取暖费、差旅费、维修（护）费、租赁费、会议费、培训费、劳务费、工会经费、公务用车运行维护费</w:t>
      </w:r>
      <w:r>
        <w:rPr>
          <w:rStyle w:val="18"/>
          <w:rFonts w:hint="eastAsia" w:hAnsi="楷体"/>
          <w:b w:val="0"/>
          <w:spacing w:val="-4"/>
          <w:sz w:val="28"/>
          <w:szCs w:val="28"/>
        </w:rPr>
        <w:t>。资本性支出115.31万元。</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2021年基本支出比上年2811.87万元,增加34.45万元，上升1.23</w:t>
      </w:r>
      <w:r>
        <w:rPr>
          <w:rStyle w:val="18"/>
          <w:rFonts w:ascii="仿宋_GB2312" w:hAnsi="宋体" w:eastAsia="仿宋_GB2312"/>
          <w:b w:val="0"/>
          <w:bCs w:val="0"/>
          <w:spacing w:val="-4"/>
          <w:sz w:val="28"/>
          <w:szCs w:val="28"/>
        </w:rPr>
        <w:t>%</w:t>
      </w:r>
      <w:r>
        <w:rPr>
          <w:rStyle w:val="18"/>
          <w:rFonts w:hint="eastAsia" w:ascii="仿宋_GB2312" w:hAnsi="楷体" w:eastAsia="仿宋_GB2312"/>
          <w:b w:val="0"/>
          <w:spacing w:val="-4"/>
          <w:sz w:val="28"/>
          <w:szCs w:val="28"/>
        </w:rPr>
        <w:t>，支出上升的主要原因是人员调资,预算增加。</w:t>
      </w:r>
    </w:p>
    <w:p>
      <w:pPr>
        <w:spacing w:line="560" w:lineRule="exact"/>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年一般公共预算“三公”经费数为39.3万元，其中：因公出国（境）费0万元，公务用车购置0万元，公务用车运行费39.3 万元，公务接待费0万元。</w:t>
      </w:r>
    </w:p>
    <w:p>
      <w:pPr>
        <w:spacing w:line="560" w:lineRule="exact"/>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 xml:space="preserve">年一般公共预算“三公”经费比上年增加0.45万元，其中：因公出国（境）费增加0 万元，主要原因是： </w:t>
      </w:r>
      <w:r>
        <w:rPr>
          <w:rFonts w:hint="eastAsia" w:ascii="仿宋_GB2312" w:hAnsi="宋体" w:eastAsia="仿宋_GB2312" w:cs="宋体"/>
          <w:kern w:val="0"/>
          <w:sz w:val="28"/>
          <w:szCs w:val="28"/>
        </w:rPr>
        <w:t>2021年我单位因公出国（境）费未安排预算。</w:t>
      </w:r>
      <w:r>
        <w:rPr>
          <w:rStyle w:val="18"/>
          <w:rFonts w:hint="eastAsia" w:ascii="仿宋_GB2312" w:hAnsi="楷体" w:eastAsia="仿宋_GB2312"/>
          <w:b w:val="0"/>
          <w:spacing w:val="-4"/>
          <w:sz w:val="28"/>
          <w:szCs w:val="28"/>
        </w:rPr>
        <w:t>公务用车购置费为0，未安排预算；公务用车运行费增加0.45万元，主要原因是</w:t>
      </w:r>
      <w:r>
        <w:rPr>
          <w:rFonts w:hint="eastAsia" w:ascii="仿宋_GB2312" w:hAnsi="宋体" w:eastAsia="仿宋_GB2312" w:cs="宋体"/>
          <w:kern w:val="0"/>
          <w:sz w:val="28"/>
          <w:szCs w:val="28"/>
        </w:rPr>
        <w:t>增加一名县处级领导正职，公务用车运行维护费预算增加</w:t>
      </w:r>
      <w:r>
        <w:rPr>
          <w:rStyle w:val="18"/>
          <w:rFonts w:hint="eastAsia" w:ascii="仿宋_GB2312" w:hAnsi="楷体" w:eastAsia="仿宋_GB2312"/>
          <w:b w:val="0"/>
          <w:spacing w:val="-4"/>
          <w:sz w:val="28"/>
          <w:szCs w:val="28"/>
        </w:rPr>
        <w:t xml:space="preserve"> ；公务接待费增加0万元，主要原因是</w:t>
      </w:r>
      <w:r>
        <w:rPr>
          <w:rFonts w:hint="eastAsia" w:ascii="仿宋_GB2312" w:hAnsi="宋体" w:eastAsia="仿宋_GB2312" w:cs="宋体"/>
          <w:kern w:val="0"/>
          <w:sz w:val="28"/>
          <w:szCs w:val="28"/>
        </w:rPr>
        <w:t>2021年我单位公务接待费未安排预算。</w:t>
      </w:r>
    </w:p>
    <w:p>
      <w:pPr>
        <w:pStyle w:val="4"/>
        <w:spacing w:before="0" w:after="0" w:line="560" w:lineRule="exact"/>
        <w:ind w:firstLine="643" w:firstLineChars="200"/>
        <w:rPr>
          <w:rStyle w:val="18"/>
          <w:rFonts w:ascii="仿宋" w:hAnsi="仿宋" w:eastAsia="仿宋"/>
          <w:b/>
          <w:bCs/>
        </w:rPr>
      </w:pPr>
      <w:bookmarkStart w:id="15" w:name="_Toc70450302"/>
      <w:r>
        <w:rPr>
          <w:rStyle w:val="18"/>
          <w:rFonts w:hint="eastAsia" w:ascii="仿宋" w:hAnsi="仿宋" w:eastAsia="仿宋"/>
          <w:b/>
          <w:bCs/>
        </w:rPr>
        <w:t>（三）专项支出管理及使用情况</w:t>
      </w:r>
      <w:bookmarkEnd w:id="15"/>
    </w:p>
    <w:p>
      <w:pPr>
        <w:pStyle w:val="5"/>
        <w:spacing w:before="0" w:after="0" w:line="560" w:lineRule="exact"/>
        <w:ind w:firstLine="562" w:firstLineChars="200"/>
        <w:rPr>
          <w:rStyle w:val="18"/>
          <w:rFonts w:ascii="仿宋" w:hAnsi="仿宋" w:eastAsia="仿宋"/>
          <w:b/>
          <w:bCs/>
        </w:rPr>
      </w:pPr>
      <w:bookmarkStart w:id="16" w:name="_Toc70450303"/>
      <w:r>
        <w:rPr>
          <w:rStyle w:val="18"/>
          <w:rFonts w:hint="eastAsia" w:ascii="仿宋" w:hAnsi="仿宋" w:eastAsia="仿宋"/>
          <w:b/>
          <w:bCs/>
        </w:rPr>
        <w:t>1、专项资金安排落实、总投入等情况分析</w:t>
      </w:r>
      <w:bookmarkEnd w:id="16"/>
    </w:p>
    <w:p>
      <w:pPr>
        <w:spacing w:line="560" w:lineRule="exact"/>
        <w:ind w:firstLine="544" w:firstLineChars="200"/>
        <w:rPr>
          <w:rStyle w:val="18"/>
          <w:rFonts w:ascii="仿宋_GB2312" w:hAnsi="楷体" w:eastAsia="仿宋_GB2312"/>
          <w:b w:val="0"/>
          <w:spacing w:val="-4"/>
          <w:sz w:val="28"/>
          <w:szCs w:val="28"/>
          <w:highlight w:val="none"/>
        </w:rPr>
      </w:pP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年预算安排专项资金125.08万元，实际到位 125.08万元,到位率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％,其中:中央转移支付项目资金0万元，自治区资金125.08万元，本级安排0 万元。</w:t>
      </w:r>
    </w:p>
    <w:p>
      <w:pPr>
        <w:pStyle w:val="5"/>
        <w:spacing w:before="0" w:after="0" w:line="560" w:lineRule="exact"/>
        <w:ind w:firstLine="562" w:firstLineChars="200"/>
        <w:rPr>
          <w:rStyle w:val="18"/>
          <w:rFonts w:ascii="仿宋" w:hAnsi="仿宋" w:eastAsia="仿宋"/>
          <w:b/>
          <w:bCs/>
        </w:rPr>
      </w:pPr>
      <w:bookmarkStart w:id="17" w:name="_Toc70450304"/>
      <w:r>
        <w:rPr>
          <w:rStyle w:val="18"/>
          <w:rFonts w:hint="eastAsia" w:ascii="仿宋" w:hAnsi="仿宋" w:eastAsia="仿宋"/>
          <w:b/>
          <w:bCs/>
        </w:rPr>
        <w:t>2、专项资金实际使用情况</w:t>
      </w:r>
      <w:bookmarkEnd w:id="17"/>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专项资金支出125.08万元，占总支出的4.14%，其中2021年专项项目支出比上年99.23万元增加25.85万元，上升26.05%。支出上升的主要原因是今年新增AK替代建设工程项目、统战部增加维修项目。其中：宗教教职人员生活补助提标项目21.48万元、主要用于完成宗教教职人员生活补助提标。宗教活动场所维修项目8万元，主要用于完成特克斯县乔拉克铁热克镇齐巴尔托布勒格（西）清真寺修缮、清真寺维修项目6万元，主要用于完成对特克斯县阔科铁热克乡莫因台村清真寺、喀拉托海镇阿克卓勒村清真寺、乔拉克铁热克镇萨尔阔布村清真寺、呼吉尔特蒙古乡库尔乌泽克移民清真寺维修。统战业务项目22.82万元主要用于完成宗教教职人员与驻村管寺人员生活补助。AK替代工程建设项目50万元，主要用于完成购置办公设备。</w:t>
      </w:r>
      <w:bookmarkStart w:id="18" w:name="_Toc70450305"/>
    </w:p>
    <w:p>
      <w:pPr>
        <w:spacing w:line="560" w:lineRule="exact"/>
        <w:ind w:firstLine="562" w:firstLineChars="200"/>
        <w:rPr>
          <w:rStyle w:val="18"/>
          <w:rFonts w:ascii="仿宋" w:hAnsi="仿宋" w:eastAsia="仿宋"/>
          <w:b w:val="0"/>
          <w:bCs w:val="0"/>
          <w:sz w:val="28"/>
          <w:szCs w:val="28"/>
        </w:rPr>
      </w:pPr>
      <w:r>
        <w:rPr>
          <w:rStyle w:val="18"/>
          <w:rFonts w:hint="eastAsia" w:ascii="仿宋" w:hAnsi="仿宋" w:eastAsia="仿宋"/>
          <w:sz w:val="28"/>
          <w:szCs w:val="28"/>
        </w:rPr>
        <w:t>3、专项资金管理情况</w:t>
      </w:r>
      <w:bookmarkEnd w:id="18"/>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为规范专项资金使用，提高专项资金使用效益，我单位主要采取四项措施。</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（1）制定了</w:t>
      </w:r>
      <w:r>
        <w:rPr>
          <w:rFonts w:ascii="仿宋_GB2312" w:hAnsi="仿宋_GB2312" w:eastAsia="仿宋_GB2312" w:cs="仿宋_GB2312"/>
          <w:kern w:val="1"/>
          <w:sz w:val="28"/>
          <w:szCs w:val="28"/>
        </w:rPr>
        <w:t>《中共特克斯县委员会办公室项目资金管理办法》</w:t>
      </w:r>
      <w:r>
        <w:rPr>
          <w:rStyle w:val="18"/>
          <w:rFonts w:hint="eastAsia" w:ascii="仿宋_GB2312" w:hAnsi="楷体" w:eastAsia="仿宋_GB2312"/>
          <w:b w:val="0"/>
          <w:spacing w:val="-4"/>
          <w:sz w:val="28"/>
          <w:szCs w:val="28"/>
        </w:rPr>
        <w:t>，</w:t>
      </w:r>
      <w:r>
        <w:rPr>
          <w:rFonts w:ascii="仿宋_GB2312" w:hAnsi="仿宋_GB2312" w:eastAsia="仿宋_GB2312" w:cs="仿宋_GB2312"/>
          <w:kern w:val="1"/>
          <w:sz w:val="28"/>
          <w:szCs w:val="28"/>
        </w:rPr>
        <w:t>《中共特克斯县委员会办公室项目资金管理办法》</w:t>
      </w:r>
      <w:r>
        <w:rPr>
          <w:rStyle w:val="18"/>
          <w:rFonts w:hint="eastAsia" w:ascii="仿宋_GB2312" w:hAnsi="楷体" w:eastAsia="仿宋_GB2312"/>
          <w:b w:val="0"/>
          <w:spacing w:val="-4"/>
          <w:sz w:val="28"/>
          <w:szCs w:val="28"/>
        </w:rPr>
        <w:t>专项资金管理办法，各项资金使用审批流程均按规定办理。涉及“三重一大”内容，严格按照规定提请办公室主任会议审议决定，包括项目资金分配、重大项目确定、大额资金支付等。</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）建立中共特克斯县委员会办公室专项资金专帐，做到有据可依，有据可查。</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（3）制订了中共特克斯县委员会办公室项目实施方案，确保项目顺利实施。</w:t>
      </w:r>
    </w:p>
    <w:p>
      <w:pPr>
        <w:spacing w:line="520" w:lineRule="atLeast"/>
        <w:ind w:firstLine="465"/>
        <w:jc w:val="left"/>
        <w:rPr>
          <w:rStyle w:val="18"/>
          <w:rFonts w:ascii="仿宋_GB2312" w:hAnsi="仿宋_GB2312" w:eastAsia="仿宋_GB2312" w:cs="仿宋_GB2312"/>
          <w:b w:val="0"/>
          <w:bCs w:val="0"/>
          <w:kern w:val="1"/>
          <w:sz w:val="28"/>
          <w:szCs w:val="28"/>
        </w:rPr>
      </w:pPr>
      <w:r>
        <w:rPr>
          <w:rStyle w:val="18"/>
          <w:rFonts w:hint="eastAsia" w:ascii="仿宋_GB2312" w:hAnsi="楷体" w:eastAsia="仿宋_GB2312"/>
          <w:b w:val="0"/>
          <w:spacing w:val="-4"/>
          <w:sz w:val="28"/>
          <w:szCs w:val="28"/>
        </w:rPr>
        <w:t>（4）认真组织中共特克斯县委员会办公室项目验收，确保项目</w:t>
      </w:r>
      <w:r>
        <w:rPr>
          <w:rFonts w:hint="eastAsia" w:ascii="仿宋_GB2312" w:hAnsi="仿宋_GB2312" w:eastAsia="仿宋_GB2312" w:cs="仿宋_GB2312"/>
          <w:kern w:val="1"/>
          <w:sz w:val="28"/>
          <w:szCs w:val="28"/>
        </w:rPr>
        <w:t xml:space="preserve">成效，全年预算支出整体受控。 </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专项资金涉及政府采购项目的，按照音准《中共特克斯县委员会办公室采购与招标管理办法》组织人员制定采购计划，按照财政局采购部门批复，进行公开招标、邀请招标等方式进行。</w:t>
      </w:r>
    </w:p>
    <w:p>
      <w:pPr>
        <w:pStyle w:val="3"/>
        <w:spacing w:before="0" w:after="0" w:line="560" w:lineRule="exact"/>
        <w:ind w:firstLine="531" w:firstLineChars="147"/>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pStyle w:val="5"/>
        <w:numPr>
          <w:ilvl w:val="0"/>
          <w:numId w:val="1"/>
        </w:numPr>
        <w:spacing w:before="0" w:after="0" w:line="560" w:lineRule="exact"/>
        <w:ind w:left="0" w:firstLine="562" w:firstLineChars="200"/>
        <w:rPr>
          <w:rStyle w:val="18"/>
          <w:rFonts w:ascii="仿宋" w:hAnsi="仿宋" w:eastAsia="仿宋"/>
          <w:b/>
          <w:bCs/>
        </w:rPr>
      </w:pPr>
      <w:bookmarkStart w:id="20" w:name="_Toc70450308"/>
      <w:r>
        <w:rPr>
          <w:rStyle w:val="18"/>
          <w:rFonts w:hint="eastAsia" w:ascii="仿宋" w:hAnsi="仿宋" w:eastAsia="仿宋"/>
          <w:b/>
          <w:bCs/>
        </w:rPr>
        <w:t>专项组织情况分析</w:t>
      </w:r>
      <w:bookmarkEnd w:id="20"/>
    </w:p>
    <w:p>
      <w:pPr>
        <w:snapToGrid w:val="0"/>
        <w:spacing w:line="560" w:lineRule="exact"/>
        <w:ind w:firstLine="544" w:firstLineChars="200"/>
        <w:rPr>
          <w:rStyle w:val="18"/>
          <w:rFonts w:ascii="仿宋_GB2312" w:hAnsi="楷体" w:eastAsia="仿宋_GB2312"/>
          <w:b w:val="0"/>
          <w:bCs w:val="0"/>
          <w:color w:val="FF0000"/>
          <w:spacing w:val="-4"/>
          <w:sz w:val="28"/>
          <w:szCs w:val="28"/>
        </w:rPr>
      </w:pPr>
      <w:r>
        <w:rPr>
          <w:rStyle w:val="18"/>
          <w:rFonts w:hint="eastAsia" w:ascii="仿宋_GB2312" w:hAnsi="楷体" w:eastAsia="仿宋_GB2312"/>
          <w:b w:val="0"/>
          <w:bCs w:val="0"/>
          <w:spacing w:val="-4"/>
          <w:sz w:val="28"/>
          <w:szCs w:val="28"/>
        </w:rPr>
        <w:t>1、前期准备</w:t>
      </w:r>
    </w:p>
    <w:p>
      <w:pPr>
        <w:snapToGrid w:val="0"/>
        <w:spacing w:line="560" w:lineRule="exact"/>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年初我单位下发的中共特克斯县委员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8"/>
          <w:rFonts w:ascii="仿宋_GB2312" w:hAnsi="楷体" w:eastAsia="仿宋_GB2312"/>
          <w:b w:val="0"/>
          <w:bCs w:val="0"/>
          <w:spacing w:val="-4"/>
          <w:sz w:val="28"/>
          <w:szCs w:val="28"/>
        </w:rPr>
        <w:t>1</w:t>
      </w:r>
      <w:r>
        <w:rPr>
          <w:rStyle w:val="18"/>
          <w:rFonts w:hint="eastAsia" w:ascii="仿宋_GB2312" w:hAnsi="楷体" w:eastAsia="仿宋_GB2312"/>
          <w:b w:val="0"/>
          <w:bCs w:val="0"/>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560" w:lineRule="exact"/>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2、组织实施</w:t>
      </w:r>
    </w:p>
    <w:p>
      <w:pPr>
        <w:snapToGrid w:val="0"/>
        <w:spacing w:line="560" w:lineRule="exact"/>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560" w:lineRule="exact"/>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pacing w:line="560" w:lineRule="exact"/>
        <w:ind w:firstLine="544" w:firstLineChars="200"/>
        <w:rPr>
          <w:rStyle w:val="18"/>
          <w:rFonts w:ascii="仿宋_GB2312" w:eastAsia="仿宋_GB2312"/>
          <w:b w:val="0"/>
          <w:bCs w:val="0"/>
          <w:sz w:val="28"/>
          <w:szCs w:val="28"/>
        </w:rPr>
      </w:pPr>
      <w:r>
        <w:rPr>
          <w:rStyle w:val="18"/>
          <w:rFonts w:hint="eastAsia" w:ascii="仿宋_GB2312" w:hAnsi="楷体" w:eastAsia="仿宋_GB2312"/>
          <w:b w:val="0"/>
          <w:bCs w:val="0"/>
          <w:spacing w:val="-4"/>
          <w:sz w:val="28"/>
          <w:szCs w:val="28"/>
        </w:rPr>
        <w:t>截止12月31日，县委专项除AK替代建设工程项目、</w:t>
      </w:r>
      <w:r>
        <w:rPr>
          <w:rStyle w:val="18"/>
          <w:rFonts w:hint="eastAsia" w:ascii="仿宋_GB2312" w:hAnsi="楷体" w:eastAsia="仿宋_GB2312"/>
          <w:b w:val="0"/>
          <w:spacing w:val="-4"/>
          <w:sz w:val="28"/>
          <w:szCs w:val="28"/>
        </w:rPr>
        <w:t>基层科普行动项目</w:t>
      </w:r>
      <w:r>
        <w:rPr>
          <w:rStyle w:val="18"/>
          <w:rFonts w:hint="eastAsia" w:ascii="仿宋_GB2312" w:hAnsi="楷体" w:eastAsia="仿宋_GB2312"/>
          <w:b w:val="0"/>
          <w:bCs w:val="0"/>
          <w:spacing w:val="-4"/>
          <w:sz w:val="28"/>
          <w:szCs w:val="28"/>
        </w:rPr>
        <w:t>未完成，其他均按照时间计划保质、保量完成。AK替代建设工程项目</w:t>
      </w:r>
      <w:r>
        <w:rPr>
          <w:rFonts w:hint="eastAsia" w:ascii="仿宋_GB2312" w:eastAsia="仿宋_GB2312"/>
          <w:sz w:val="28"/>
          <w:szCs w:val="28"/>
        </w:rPr>
        <w:t>是因部分打印机和扫描仪测评未做完，还未配备到位，后期将加快进度。</w:t>
      </w:r>
      <w:r>
        <w:rPr>
          <w:rStyle w:val="18"/>
          <w:rFonts w:hint="eastAsia" w:ascii="仿宋_GB2312" w:hAnsi="楷体" w:eastAsia="仿宋_GB2312"/>
          <w:b w:val="0"/>
          <w:spacing w:val="-4"/>
          <w:sz w:val="28"/>
          <w:szCs w:val="28"/>
        </w:rPr>
        <w:t>基层科普行动项目主要因为</w:t>
      </w:r>
      <w:r>
        <w:rPr>
          <w:rFonts w:hint="eastAsia" w:ascii="仿宋_GB2312" w:eastAsia="仿宋_GB2312"/>
          <w:sz w:val="28"/>
          <w:szCs w:val="28"/>
        </w:rPr>
        <w:t>先进村材料未收集全，奖补资金未全部发放到位。改进措施：加强规划管理，按时时间节点上报相关材料。</w:t>
      </w:r>
    </w:p>
    <w:p>
      <w:pPr>
        <w:pStyle w:val="5"/>
        <w:spacing w:before="0" w:after="0" w:line="560" w:lineRule="exact"/>
        <w:ind w:firstLine="413" w:firstLineChars="147"/>
        <w:rPr>
          <w:rStyle w:val="18"/>
          <w:rFonts w:ascii="仿宋" w:hAnsi="仿宋" w:eastAsia="仿宋"/>
          <w:b/>
          <w:bCs/>
        </w:rPr>
      </w:pPr>
      <w:bookmarkStart w:id="21" w:name="_Toc70450309"/>
      <w:r>
        <w:rPr>
          <w:rStyle w:val="18"/>
          <w:rFonts w:hint="eastAsia" w:ascii="仿宋" w:hAnsi="仿宋" w:eastAsia="仿宋"/>
          <w:b/>
          <w:bCs/>
        </w:rPr>
        <w:t>（二）专项管理情况分析</w:t>
      </w:r>
      <w:bookmarkEnd w:id="21"/>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1、资金到位及使用情况</w:t>
      </w:r>
    </w:p>
    <w:p>
      <w:pPr>
        <w:spacing w:line="560" w:lineRule="exact"/>
        <w:ind w:firstLine="544" w:firstLineChars="200"/>
        <w:rPr>
          <w:rStyle w:val="18"/>
          <w:rFonts w:ascii="仿宋_GB2312" w:hAnsi="宋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w:t>
      </w:r>
      <w:r>
        <w:rPr>
          <w:rStyle w:val="18"/>
          <w:rFonts w:ascii="仿宋_GB2312" w:hAnsi="楷体" w:eastAsia="仿宋_GB2312"/>
          <w:b w:val="0"/>
          <w:spacing w:val="-4"/>
          <w:sz w:val="28"/>
          <w:szCs w:val="28"/>
          <w:highlight w:val="none"/>
        </w:rPr>
        <w:t>021</w:t>
      </w:r>
      <w:r>
        <w:rPr>
          <w:rStyle w:val="18"/>
          <w:rFonts w:hint="eastAsia" w:ascii="仿宋_GB2312" w:hAnsi="楷体" w:eastAsia="仿宋_GB2312"/>
          <w:b w:val="0"/>
          <w:spacing w:val="-4"/>
          <w:sz w:val="28"/>
          <w:szCs w:val="28"/>
          <w:highlight w:val="none"/>
        </w:rPr>
        <w:t>年涉及专项资金125.08万元，实际到位 125.08万元，资金到位率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%。截止到</w:t>
      </w: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年1</w:t>
      </w:r>
      <w:r>
        <w:rPr>
          <w:rStyle w:val="18"/>
          <w:rFonts w:ascii="仿宋_GB2312" w:hAnsi="楷体" w:eastAsia="仿宋_GB2312"/>
          <w:b w:val="0"/>
          <w:spacing w:val="-4"/>
          <w:sz w:val="28"/>
          <w:szCs w:val="28"/>
          <w:highlight w:val="none"/>
        </w:rPr>
        <w:t>2</w:t>
      </w:r>
      <w:r>
        <w:rPr>
          <w:rStyle w:val="18"/>
          <w:rFonts w:hint="eastAsia" w:ascii="仿宋_GB2312" w:hAnsi="楷体" w:eastAsia="仿宋_GB2312"/>
          <w:b w:val="0"/>
          <w:spacing w:val="-4"/>
          <w:sz w:val="28"/>
          <w:szCs w:val="28"/>
          <w:highlight w:val="none"/>
        </w:rPr>
        <w:t>月31日执行 125.08万元，执行率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%。其中：20</w:t>
      </w:r>
      <w:r>
        <w:rPr>
          <w:rStyle w:val="18"/>
          <w:rFonts w:ascii="仿宋_GB2312" w:hAnsi="楷体" w:eastAsia="仿宋_GB2312"/>
          <w:b w:val="0"/>
          <w:spacing w:val="-4"/>
          <w:sz w:val="28"/>
          <w:szCs w:val="28"/>
          <w:highlight w:val="none"/>
        </w:rPr>
        <w:t>21</w:t>
      </w:r>
      <w:r>
        <w:rPr>
          <w:rStyle w:val="18"/>
          <w:rFonts w:hint="eastAsia" w:ascii="仿宋_GB2312" w:hAnsi="楷体" w:eastAsia="仿宋_GB2312"/>
          <w:b w:val="0"/>
          <w:spacing w:val="-4"/>
          <w:sz w:val="28"/>
          <w:szCs w:val="28"/>
          <w:highlight w:val="none"/>
        </w:rPr>
        <w:t>年结转专项资金0万元，实际执行0万元，执行率为0%；202</w:t>
      </w:r>
      <w:r>
        <w:rPr>
          <w:rStyle w:val="18"/>
          <w:rFonts w:ascii="仿宋_GB2312" w:hAnsi="楷体" w:eastAsia="仿宋_GB2312"/>
          <w:b w:val="0"/>
          <w:spacing w:val="-4"/>
          <w:sz w:val="28"/>
          <w:szCs w:val="28"/>
          <w:highlight w:val="none"/>
        </w:rPr>
        <w:t>1</w:t>
      </w:r>
      <w:r>
        <w:rPr>
          <w:rStyle w:val="18"/>
          <w:rFonts w:hint="eastAsia" w:ascii="仿宋_GB2312" w:hAnsi="楷体" w:eastAsia="仿宋_GB2312"/>
          <w:b w:val="0"/>
          <w:spacing w:val="-4"/>
          <w:sz w:val="28"/>
          <w:szCs w:val="28"/>
          <w:highlight w:val="none"/>
        </w:rPr>
        <w:t>年新增专项资金125.08万元，实际执行125.08万元，执行率为100%。</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2、资金管理情况</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我单位严格执行中共特克斯县委员会办公室《专项资金管理办法》文件精神要求，加强对专项资金的绩效管理，确保专款专用，提高专项资金使用效益。遵守相关法律法规，严肃财经纪律，自觉接受财政、审计、监察监督检查。</w:t>
      </w:r>
    </w:p>
    <w:p>
      <w:pPr>
        <w:spacing w:line="560" w:lineRule="exact"/>
        <w:ind w:firstLine="562" w:firstLineChars="200"/>
        <w:rPr>
          <w:rStyle w:val="18"/>
          <w:rFonts w:ascii="仿宋_GB2312" w:hAnsi="楷体" w:eastAsia="仿宋_GB2312"/>
          <w:spacing w:val="-4"/>
          <w:sz w:val="28"/>
          <w:szCs w:val="28"/>
        </w:rPr>
      </w:pPr>
      <w:r>
        <w:rPr>
          <w:rStyle w:val="18"/>
          <w:rFonts w:hint="eastAsia" w:ascii="仿宋_GB2312" w:hAnsi="仿宋" w:eastAsia="仿宋_GB2312"/>
          <w:bCs w:val="0"/>
          <w:sz w:val="28"/>
          <w:szCs w:val="28"/>
        </w:rPr>
        <w:t>（三）项目实施情况分析</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w:t>
      </w:r>
      <w:r>
        <w:rPr>
          <w:rStyle w:val="18"/>
          <w:rFonts w:ascii="仿宋_GB2312" w:hAnsi="楷体" w:eastAsia="仿宋_GB2312"/>
          <w:b w:val="0"/>
          <w:spacing w:val="-4"/>
          <w:sz w:val="28"/>
          <w:szCs w:val="28"/>
        </w:rPr>
        <w:t>、组织情况</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中共特克斯县委员会办公室，根据202</w:t>
      </w:r>
      <w:r>
        <w:rPr>
          <w:rStyle w:val="18"/>
          <w:rFonts w:ascii="仿宋_GB2312" w:hAnsi="楷体" w:eastAsia="仿宋_GB2312"/>
          <w:b w:val="0"/>
          <w:spacing w:val="-4"/>
          <w:sz w:val="28"/>
          <w:szCs w:val="28"/>
        </w:rPr>
        <w:t>1</w:t>
      </w:r>
      <w:r>
        <w:rPr>
          <w:rStyle w:val="18"/>
          <w:rFonts w:hint="eastAsia" w:ascii="仿宋_GB2312" w:hAnsi="楷体" w:eastAsia="仿宋_GB2312"/>
          <w:b w:val="0"/>
          <w:spacing w:val="-4"/>
          <w:sz w:val="28"/>
          <w:szCs w:val="28"/>
        </w:rPr>
        <w:t>年</w:t>
      </w:r>
      <w:r>
        <w:rPr>
          <w:rStyle w:val="18"/>
          <w:rFonts w:hint="eastAsia" w:ascii="仿宋_GB2312" w:hAnsi="楷体" w:eastAsia="仿宋_GB2312"/>
          <w:b w:val="0"/>
          <w:spacing w:val="-4"/>
          <w:sz w:val="28"/>
          <w:szCs w:val="28"/>
          <w:highlight w:val="none"/>
        </w:rPr>
        <w:t>5个</w:t>
      </w:r>
      <w:r>
        <w:rPr>
          <w:rStyle w:val="18"/>
          <w:rFonts w:hint="eastAsia" w:ascii="仿宋_GB2312" w:hAnsi="楷体" w:eastAsia="仿宋_GB2312"/>
          <w:b w:val="0"/>
          <w:spacing w:val="-4"/>
          <w:sz w:val="28"/>
          <w:szCs w:val="28"/>
        </w:rPr>
        <w:t>项目的绩效目标及工作内容，将其细化分工至本单位4个负责人，加强组织领导，明确分工，各司其职，抓好工作目标任务的落实完成，同时年中要求各负责人按照年初预算对本科室绩效工作进行自查自评，并报上半年工作情况总结，</w:t>
      </w:r>
      <w:r>
        <w:rPr>
          <w:rStyle w:val="18"/>
          <w:rFonts w:ascii="仿宋_GB2312" w:hAnsi="楷体" w:eastAsia="仿宋_GB2312"/>
          <w:b w:val="0"/>
          <w:spacing w:val="-4"/>
          <w:sz w:val="28"/>
          <w:szCs w:val="28"/>
        </w:rPr>
        <w:t>5</w:t>
      </w:r>
      <w:r>
        <w:rPr>
          <w:rStyle w:val="18"/>
          <w:rFonts w:hint="eastAsia" w:ascii="仿宋_GB2312" w:hAnsi="楷体" w:eastAsia="仿宋_GB2312"/>
          <w:b w:val="0"/>
          <w:spacing w:val="-4"/>
          <w:sz w:val="28"/>
          <w:szCs w:val="28"/>
        </w:rPr>
        <w:t>月和8月对工作情况进行跟踪检查，确保绩效目标如期实现，不断提高财政资金配置和使用效益。</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、管理情况</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中共特克斯县委员会办公室实施</w:t>
      </w:r>
      <w:r>
        <w:rPr>
          <w:rStyle w:val="18"/>
          <w:rFonts w:hint="eastAsia" w:ascii="仿宋_GB2312" w:hAnsi="楷体" w:eastAsia="仿宋_GB2312"/>
          <w:b w:val="0"/>
          <w:spacing w:val="-4"/>
          <w:sz w:val="28"/>
          <w:szCs w:val="28"/>
          <w:highlight w:val="none"/>
        </w:rPr>
        <w:t>的5个项</w:t>
      </w:r>
      <w:r>
        <w:rPr>
          <w:rStyle w:val="18"/>
          <w:rFonts w:hint="eastAsia" w:ascii="仿宋_GB2312" w:hAnsi="楷体" w:eastAsia="仿宋_GB2312"/>
          <w:b w:val="0"/>
          <w:spacing w:val="-4"/>
          <w:sz w:val="28"/>
          <w:szCs w:val="28"/>
        </w:rPr>
        <w:t>目，由相关业务处室指派专人进行全过程跟踪管理，处室统筹推进项目实施，部门不定期对项目进度进行调度，并对项目质量进行控制。</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w:t>
      </w:r>
      <w:r>
        <w:rPr>
          <w:rStyle w:val="18"/>
          <w:rFonts w:ascii="仿宋_GB2312" w:hAnsi="楷体" w:eastAsia="仿宋_GB2312"/>
          <w:b w:val="0"/>
          <w:spacing w:val="-4"/>
          <w:sz w:val="28"/>
          <w:szCs w:val="28"/>
        </w:rPr>
        <w:t>、监管情况</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中共特克斯县委员会办公室从项目实施方案、项目预算、项目建设进度、项目成本、项目验收等环节，全过程对项目进行监管，并向本单位主要领导报告，以推进项目建设和提高项目质量，以发挥资金使用效益。</w:t>
      </w:r>
    </w:p>
    <w:p>
      <w:pPr>
        <w:pStyle w:val="5"/>
        <w:spacing w:line="560" w:lineRule="exact"/>
        <w:ind w:firstLine="413" w:firstLineChars="147"/>
        <w:rPr>
          <w:rStyle w:val="18"/>
          <w:rFonts w:ascii="仿宋" w:hAnsi="仿宋" w:eastAsia="仿宋"/>
          <w:b/>
          <w:bCs/>
        </w:rPr>
      </w:pPr>
      <w:r>
        <w:rPr>
          <w:rStyle w:val="18"/>
          <w:rFonts w:hint="eastAsia" w:ascii="仿宋" w:hAnsi="仿宋" w:eastAsia="仿宋"/>
          <w:b/>
          <w:bCs/>
        </w:rPr>
        <w:t>（四）绩效情况分析</w:t>
      </w:r>
    </w:p>
    <w:p>
      <w:pPr>
        <w:spacing w:line="560" w:lineRule="exact"/>
        <w:ind w:firstLine="544" w:firstLineChars="200"/>
        <w:rPr>
          <w:rStyle w:val="18"/>
          <w:rFonts w:ascii="仿宋_GB2312" w:hAnsi="楷体" w:eastAsia="仿宋_GB2312"/>
          <w:b w:val="0"/>
          <w:bCs w:val="0"/>
          <w:spacing w:val="-4"/>
          <w:sz w:val="28"/>
          <w:szCs w:val="28"/>
          <w:highlight w:val="none"/>
        </w:rPr>
      </w:pPr>
      <w:r>
        <w:rPr>
          <w:rStyle w:val="18"/>
          <w:rFonts w:hint="eastAsia" w:ascii="仿宋_GB2312" w:hAnsi="楷体" w:eastAsia="仿宋_GB2312"/>
          <w:b w:val="0"/>
          <w:bCs w:val="0"/>
          <w:spacing w:val="-4"/>
          <w:sz w:val="28"/>
          <w:szCs w:val="28"/>
          <w:highlight w:val="none"/>
        </w:rPr>
        <w:t>1</w:t>
      </w:r>
      <w:r>
        <w:rPr>
          <w:rStyle w:val="18"/>
          <w:rFonts w:ascii="仿宋_GB2312" w:hAnsi="楷体" w:eastAsia="仿宋_GB2312"/>
          <w:b w:val="0"/>
          <w:bCs w:val="0"/>
          <w:spacing w:val="-4"/>
          <w:sz w:val="28"/>
          <w:szCs w:val="28"/>
          <w:highlight w:val="none"/>
        </w:rPr>
        <w:t>、成本控制情况</w:t>
      </w:r>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中共特克斯县委员会办公室所涉及专项项目均已于专项资金下达后按照资金文件及绩效管理要求设置《项目绩效目标表》。5个专项项目预算总额为125.08万元，在项目实施过程中，业务人员加强项目管理，合理控制项目成本，截止项目结束，5个项目总成本为125.08万元，不存在超支情况。</w:t>
      </w:r>
    </w:p>
    <w:p>
      <w:pPr>
        <w:pStyle w:val="22"/>
        <w:spacing w:line="560" w:lineRule="exact"/>
        <w:ind w:left="544" w:firstLine="0" w:firstLineChars="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w:t>
      </w:r>
      <w:r>
        <w:rPr>
          <w:rStyle w:val="18"/>
          <w:rFonts w:ascii="仿宋_GB2312" w:hAnsi="楷体" w:eastAsia="仿宋_GB2312"/>
          <w:b w:val="0"/>
          <w:bCs w:val="0"/>
          <w:spacing w:val="-4"/>
          <w:sz w:val="28"/>
          <w:szCs w:val="28"/>
        </w:rPr>
        <w:t>成本节约情况</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中共特克斯县委员会办公室所涉及专项项目使用资金比专项项目总预算减少0万元，</w:t>
      </w:r>
      <w:bookmarkStart w:id="22" w:name="_Hlk96097132"/>
      <w:r>
        <w:rPr>
          <w:rStyle w:val="18"/>
          <w:rFonts w:hint="eastAsia" w:ascii="仿宋_GB2312" w:hAnsi="楷体" w:eastAsia="仿宋_GB2312"/>
          <w:b w:val="0"/>
          <w:spacing w:val="-4"/>
          <w:sz w:val="28"/>
          <w:szCs w:val="28"/>
        </w:rPr>
        <w:t>项目节约率</w:t>
      </w:r>
      <w:bookmarkEnd w:id="22"/>
      <w:r>
        <w:rPr>
          <w:rStyle w:val="18"/>
          <w:rFonts w:hint="eastAsia" w:ascii="仿宋_GB2312" w:hAnsi="楷体" w:eastAsia="仿宋_GB2312"/>
          <w:b w:val="0"/>
          <w:spacing w:val="-4"/>
          <w:sz w:val="28"/>
          <w:szCs w:val="28"/>
        </w:rPr>
        <w:t>为0%。</w:t>
      </w:r>
    </w:p>
    <w:p>
      <w:pPr>
        <w:spacing w:line="560" w:lineRule="exact"/>
        <w:ind w:firstLine="546" w:firstLineChars="200"/>
        <w:rPr>
          <w:rStyle w:val="18"/>
          <w:rFonts w:asciiTheme="minorEastAsia" w:hAnsiTheme="minorEastAsia"/>
          <w:spacing w:val="-4"/>
          <w:sz w:val="28"/>
          <w:szCs w:val="28"/>
        </w:rPr>
      </w:pPr>
      <w:r>
        <w:rPr>
          <w:rStyle w:val="18"/>
          <w:rFonts w:hint="eastAsia" w:asciiTheme="minorEastAsia" w:hAnsiTheme="minorEastAsia"/>
          <w:spacing w:val="-4"/>
          <w:sz w:val="28"/>
          <w:szCs w:val="28"/>
        </w:rPr>
        <w:t>（五）</w:t>
      </w:r>
      <w:r>
        <w:rPr>
          <w:rStyle w:val="18"/>
          <w:rFonts w:hint="eastAsia" w:asciiTheme="minorEastAsia" w:hAnsiTheme="minorEastAsia"/>
          <w:bCs w:val="0"/>
          <w:sz w:val="28"/>
          <w:szCs w:val="28"/>
        </w:rPr>
        <w:t>项目效率性分析</w:t>
      </w:r>
    </w:p>
    <w:p>
      <w:pPr>
        <w:spacing w:line="560" w:lineRule="exact"/>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1、实施进度</w:t>
      </w:r>
    </w:p>
    <w:p>
      <w:pPr>
        <w:spacing w:line="560" w:lineRule="exact"/>
        <w:ind w:firstLine="544" w:firstLineChars="200"/>
        <w:rPr>
          <w:rStyle w:val="18"/>
          <w:rFonts w:ascii="仿宋_GB2312" w:hAnsi="楷体" w:eastAsia="仿宋_GB2312"/>
          <w:b w:val="0"/>
          <w:color w:val="FF0000"/>
          <w:spacing w:val="-4"/>
          <w:sz w:val="28"/>
          <w:szCs w:val="28"/>
          <w:highlight w:val="none"/>
        </w:rPr>
      </w:pPr>
      <w:r>
        <w:rPr>
          <w:rStyle w:val="18"/>
          <w:rFonts w:hint="eastAsia" w:ascii="仿宋_GB2312" w:hAnsi="楷体" w:eastAsia="仿宋_GB2312"/>
          <w:b w:val="0"/>
          <w:color w:val="auto"/>
          <w:spacing w:val="-4"/>
          <w:sz w:val="28"/>
          <w:szCs w:val="28"/>
          <w:highlight w:val="none"/>
        </w:rPr>
        <w:t>2021年中共特克斯县委员会办公室共涉及专项项目5个，截止到2021年底，通过专项项目实施过程中的有效监督，我单位按预期完成了5个专项的各项专项任务，项目总体完成率为</w:t>
      </w:r>
      <w:r>
        <w:rPr>
          <w:rStyle w:val="18"/>
          <w:rFonts w:hint="eastAsia" w:ascii="仿宋_GB2312" w:hAnsi="楷体" w:eastAsia="仿宋_GB2312"/>
          <w:b w:val="0"/>
          <w:color w:val="auto"/>
          <w:spacing w:val="-4"/>
          <w:sz w:val="28"/>
          <w:szCs w:val="28"/>
          <w:highlight w:val="none"/>
        </w:rPr>
        <w:tab/>
      </w:r>
      <w:r>
        <w:rPr>
          <w:rStyle w:val="18"/>
          <w:rFonts w:hint="eastAsia" w:ascii="仿宋_GB2312" w:hAnsi="楷体" w:eastAsia="仿宋_GB2312"/>
          <w:b w:val="0"/>
          <w:color w:val="auto"/>
          <w:spacing w:val="-4"/>
          <w:sz w:val="28"/>
          <w:szCs w:val="28"/>
          <w:highlight w:val="none"/>
        </w:rPr>
        <w:t>100%</w:t>
      </w:r>
      <w:r>
        <w:rPr>
          <w:rStyle w:val="18"/>
          <w:rFonts w:hint="eastAsia" w:ascii="仿宋_GB2312" w:hAnsi="楷体" w:eastAsia="仿宋_GB2312"/>
          <w:b w:val="0"/>
          <w:color w:val="FF0000"/>
          <w:spacing w:val="-4"/>
          <w:sz w:val="28"/>
          <w:szCs w:val="28"/>
          <w:highlight w:val="none"/>
        </w:rPr>
        <w:t>。</w:t>
      </w:r>
    </w:p>
    <w:p>
      <w:pPr>
        <w:pStyle w:val="22"/>
        <w:numPr>
          <w:ilvl w:val="0"/>
          <w:numId w:val="2"/>
        </w:numPr>
        <w:spacing w:line="360" w:lineRule="auto"/>
        <w:ind w:firstLineChars="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完成质量</w:t>
      </w:r>
    </w:p>
    <w:p>
      <w:pPr>
        <w:spacing w:line="360" w:lineRule="auto"/>
        <w:ind w:firstLine="544" w:firstLineChars="200"/>
        <w:rPr>
          <w:rStyle w:val="18"/>
          <w:rFonts w:ascii="仿宋_GB2312" w:hAnsi="楷体" w:eastAsia="仿宋_GB2312"/>
          <w:b w:val="0"/>
          <w:spacing w:val="-4"/>
          <w:sz w:val="28"/>
          <w:szCs w:val="28"/>
          <w:highlight w:val="none"/>
        </w:rPr>
      </w:pPr>
      <w:bookmarkStart w:id="23" w:name="_Hlk96100380"/>
      <w:r>
        <w:rPr>
          <w:rStyle w:val="18"/>
          <w:rFonts w:hint="eastAsia" w:ascii="仿宋_GB2312" w:hAnsi="楷体" w:eastAsia="仿宋_GB2312"/>
          <w:b w:val="0"/>
          <w:spacing w:val="-4"/>
          <w:sz w:val="28"/>
          <w:szCs w:val="28"/>
          <w:highlight w:val="none"/>
        </w:rPr>
        <w:t>5个专项项目完成质量情况如下：</w:t>
      </w:r>
      <w:bookmarkEnd w:id="23"/>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①宗教教职人员生活补助提标提高项目完成100%。宗教人士生活补贴体现了党对宗教教职人员的关心和照顾，切实发挥爱国宗教人士在维护民族团结和社会和谐方面发挥的积极作用，每月按时足额发放到位。</w:t>
      </w:r>
    </w:p>
    <w:p>
      <w:pPr>
        <w:spacing w:line="360" w:lineRule="auto"/>
        <w:ind w:firstLine="544" w:firstLineChars="200"/>
        <w:rPr>
          <w:rStyle w:val="18"/>
          <w:rFonts w:ascii="仿宋_GB2312" w:hAnsi="楷体" w:eastAsia="仿宋_GB2312"/>
          <w:bCs w:val="0"/>
          <w:color w:val="FF0000"/>
          <w:spacing w:val="-4"/>
          <w:sz w:val="28"/>
          <w:szCs w:val="28"/>
          <w:highlight w:val="none"/>
        </w:rPr>
      </w:pPr>
      <w:r>
        <w:rPr>
          <w:rStyle w:val="18"/>
          <w:rFonts w:hint="eastAsia" w:ascii="仿宋_GB2312" w:hAnsi="楷体" w:eastAsia="仿宋_GB2312"/>
          <w:b w:val="0"/>
          <w:spacing w:val="-4"/>
          <w:sz w:val="28"/>
          <w:szCs w:val="28"/>
          <w:highlight w:val="none"/>
        </w:rPr>
        <w:t>②宗教活动场所维修项目完成100%。本项目对特克斯县乔拉克铁热克镇齐巴尔托布勒格（西）清真寺修缮，主要用于大殿改造面积260平方米（暖气设施更换为电暖、大殿踏步、文化墙）；图书馆改造（贴瓷砖、墙裙、文化墙）；附属房（改为卫生间、吊顶、贴地面砖、墙砖、蹲便器、小便器、供排水）等，已维修完毕。</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③清真寺维修项目完成100%。本项目对特克斯县阔科铁热克乡莫因台村清真寺、喀拉托海镇阿克卓勒村清真寺、乔拉克铁热克镇萨尔阔布村清真寺、呼吉尔特蒙古乡库尔乌泽克移民清真寺，四个清真寺大殿屋顶漏雨处维修完毕、内墙粉刷完毕，并对阿克卓勒村清真寺危房进行抗震加固完毕。</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④统战业务项目完成100%。本项目对宗教教职人员生活实助体现党对宗教教职人员的关心和照顾，按时足额发放到位。驻村管寺工作经费已发放完毕，人员补助发放到位。</w:t>
      </w:r>
    </w:p>
    <w:p>
      <w:pPr>
        <w:spacing w:line="560" w:lineRule="exact"/>
        <w:ind w:firstLine="544" w:firstLineChars="200"/>
        <w:rPr>
          <w:rStyle w:val="18"/>
          <w:rFonts w:ascii="仿宋_GB2312" w:eastAsia="仿宋_GB2312"/>
          <w:b w:val="0"/>
          <w:bCs w:val="0"/>
          <w:sz w:val="28"/>
          <w:szCs w:val="28"/>
          <w:highlight w:val="none"/>
        </w:rPr>
      </w:pPr>
      <w:r>
        <w:rPr>
          <w:rStyle w:val="18"/>
          <w:rFonts w:hint="eastAsia" w:ascii="宋体" w:hAnsi="宋体" w:eastAsia="宋体"/>
          <w:b w:val="0"/>
          <w:spacing w:val="-4"/>
          <w:sz w:val="28"/>
          <w:szCs w:val="28"/>
          <w:highlight w:val="none"/>
        </w:rPr>
        <w:t>⑤</w:t>
      </w:r>
      <w:r>
        <w:rPr>
          <w:rStyle w:val="18"/>
          <w:rFonts w:hint="eastAsia" w:ascii="仿宋_GB2312" w:hAnsi="楷体" w:eastAsia="仿宋_GB2312"/>
          <w:b w:val="0"/>
          <w:spacing w:val="-4"/>
          <w:sz w:val="28"/>
          <w:szCs w:val="28"/>
          <w:highlight w:val="none"/>
        </w:rPr>
        <w:t>AK替代工程建设项目完成89.3%。已完成2021年底前替换计算机终端和服务器总量均不低于需替代总量的84%。县委办公室用于日常办公的计算机设备已经替换为AK应用设备，安全防护能力整体增强。</w:t>
      </w:r>
    </w:p>
    <w:p>
      <w:pPr>
        <w:pStyle w:val="5"/>
        <w:spacing w:line="360" w:lineRule="auto"/>
        <w:ind w:firstLine="138" w:firstLineChars="49"/>
        <w:rPr>
          <w:rStyle w:val="18"/>
          <w:rFonts w:ascii="仿宋" w:hAnsi="仿宋" w:eastAsia="仿宋"/>
          <w:b/>
          <w:bCs/>
          <w:highlight w:val="none"/>
        </w:rPr>
      </w:pPr>
      <w:r>
        <w:rPr>
          <w:rStyle w:val="18"/>
          <w:rFonts w:hint="eastAsia" w:ascii="仿宋" w:hAnsi="仿宋" w:eastAsia="仿宋"/>
          <w:b/>
          <w:bCs/>
          <w:highlight w:val="none"/>
        </w:rPr>
        <w:t>（六）项目效益性分析</w:t>
      </w:r>
    </w:p>
    <w:p>
      <w:pPr>
        <w:spacing w:line="560" w:lineRule="exact"/>
        <w:ind w:firstLine="544" w:firstLineChars="200"/>
        <w:rPr>
          <w:rStyle w:val="18"/>
          <w:rFonts w:ascii="仿宋_GB2312" w:hAnsi="楷体" w:eastAsia="仿宋_GB2312"/>
          <w:b w:val="0"/>
          <w:bCs w:val="0"/>
          <w:spacing w:val="-4"/>
          <w:sz w:val="28"/>
          <w:szCs w:val="28"/>
          <w:highlight w:val="none"/>
        </w:rPr>
      </w:pPr>
      <w:r>
        <w:rPr>
          <w:rStyle w:val="18"/>
          <w:rFonts w:hint="eastAsia" w:ascii="仿宋_GB2312" w:hAnsi="楷体" w:eastAsia="仿宋_GB2312"/>
          <w:b w:val="0"/>
          <w:bCs w:val="0"/>
          <w:spacing w:val="-4"/>
          <w:sz w:val="28"/>
          <w:szCs w:val="28"/>
          <w:highlight w:val="none"/>
        </w:rPr>
        <w:t>5个专项项目预期目标完成程度、实施对经济和社会的影响如下</w:t>
      </w:r>
      <w:r>
        <w:rPr>
          <w:rStyle w:val="18"/>
          <w:rFonts w:hint="eastAsia" w:ascii="仿宋_GB2312" w:eastAsia="仿宋_GB2312" w:hAnsiTheme="minorEastAsia"/>
          <w:bCs w:val="0"/>
          <w:spacing w:val="-4"/>
          <w:sz w:val="28"/>
          <w:szCs w:val="28"/>
          <w:highlight w:val="none"/>
        </w:rPr>
        <w:t>：</w:t>
      </w:r>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1、宗教教职人员生活补助提标项目，有效改善了宗教教职人员的生活质量。持续促进宗教教人员队伍持续稳步发展。</w:t>
      </w:r>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bCs w:val="0"/>
          <w:spacing w:val="-4"/>
          <w:sz w:val="28"/>
          <w:szCs w:val="28"/>
          <w:highlight w:val="none"/>
        </w:rPr>
        <w:t>2</w:t>
      </w:r>
      <w:r>
        <w:rPr>
          <w:rStyle w:val="18"/>
          <w:rFonts w:hint="eastAsia" w:ascii="仿宋_GB2312" w:hAnsi="楷体" w:eastAsia="仿宋_GB2312"/>
          <w:b w:val="0"/>
          <w:spacing w:val="-4"/>
          <w:sz w:val="28"/>
          <w:szCs w:val="28"/>
          <w:highlight w:val="none"/>
        </w:rPr>
        <w:t>、清真寺维修项目，使信教群众宗教活动场所正常运转，项目受益人数大于120人，宗教活动场所维修后可提供信教群众安全的宗教活动场所持续性增加大于10年。</w:t>
      </w:r>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3、宗教活动场所维修项目，使信教群众宗教活动场所正常运转，项目受益人数大于450人，宗教活动场所维修后可提供信教群众安全的宗教活动场所持续性增加大于10年。</w:t>
      </w:r>
    </w:p>
    <w:p>
      <w:pPr>
        <w:spacing w:line="560" w:lineRule="exact"/>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4、统战业务专项经费项目，有效改善宗教教职人员和驻村管寺管委会干部的生活质量，有效保障驻村管寺管委会工作顺利开展，持续促进宗教教职人员队伍持续稳步发展，积极引导宗教与社会主义社会相适应。</w:t>
      </w:r>
    </w:p>
    <w:p>
      <w:pPr>
        <w:spacing w:line="560" w:lineRule="exact"/>
        <w:ind w:firstLine="544" w:firstLineChars="200"/>
        <w:rPr>
          <w:rStyle w:val="18"/>
          <w:rFonts w:ascii="仿宋_GB2312" w:hAnsi="楷体" w:eastAsia="仿宋_GB2312"/>
          <w:b w:val="0"/>
          <w:bCs w:val="0"/>
          <w:spacing w:val="-4"/>
          <w:sz w:val="28"/>
          <w:szCs w:val="28"/>
          <w:highlight w:val="none"/>
        </w:rPr>
      </w:pPr>
      <w:r>
        <w:rPr>
          <w:rStyle w:val="18"/>
          <w:rFonts w:hint="eastAsia" w:ascii="仿宋_GB2312" w:hAnsi="楷体" w:eastAsia="仿宋_GB2312"/>
          <w:b w:val="0"/>
          <w:bCs w:val="0"/>
          <w:spacing w:val="-4"/>
          <w:sz w:val="28"/>
          <w:szCs w:val="28"/>
          <w:highlight w:val="none"/>
        </w:rPr>
        <w:t>5、AK替代工程建设项目，办公设备利用率得到提高，有效提高工作人员的工作效率。</w:t>
      </w:r>
    </w:p>
    <w:p>
      <w:pPr>
        <w:pStyle w:val="3"/>
        <w:spacing w:before="0" w:after="0" w:line="360" w:lineRule="auto"/>
        <w:rPr>
          <w:rFonts w:ascii="仿宋" w:hAnsi="仿宋" w:eastAsia="仿宋"/>
          <w:sz w:val="36"/>
          <w:szCs w:val="36"/>
          <w:highlight w:val="none"/>
        </w:rPr>
      </w:pPr>
      <w:bookmarkStart w:id="24" w:name="_Toc70450310"/>
      <w:r>
        <w:rPr>
          <w:rFonts w:hint="eastAsia" w:ascii="仿宋" w:hAnsi="仿宋" w:eastAsia="仿宋"/>
          <w:sz w:val="36"/>
          <w:szCs w:val="36"/>
          <w:highlight w:val="none"/>
        </w:rPr>
        <w:t>四、资产管理情况</w:t>
      </w:r>
      <w:bookmarkEnd w:id="24"/>
    </w:p>
    <w:p>
      <w:pPr>
        <w:pStyle w:val="4"/>
        <w:spacing w:before="0" w:after="0" w:line="360" w:lineRule="auto"/>
        <w:rPr>
          <w:rStyle w:val="18"/>
          <w:rFonts w:ascii="仿宋" w:hAnsi="仿宋" w:eastAsia="仿宋"/>
          <w:b/>
          <w:bCs/>
        </w:rPr>
      </w:pPr>
      <w:bookmarkStart w:id="25" w:name="_Toc70450311"/>
      <w:r>
        <w:rPr>
          <w:rStyle w:val="18"/>
          <w:rFonts w:hint="eastAsia" w:ascii="仿宋" w:hAnsi="仿宋" w:eastAsia="仿宋"/>
          <w:b/>
          <w:bCs/>
        </w:rPr>
        <w:t>（一）资产配置情况</w:t>
      </w:r>
      <w:bookmarkEnd w:id="25"/>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2021年我</w:t>
      </w:r>
      <w:r>
        <w:rPr>
          <w:rStyle w:val="18"/>
          <w:rFonts w:hint="eastAsia" w:ascii="仿宋_GB2312" w:hAnsi="楷体" w:eastAsia="仿宋_GB2312"/>
          <w:b w:val="0"/>
          <w:spacing w:val="-4"/>
          <w:sz w:val="28"/>
          <w:szCs w:val="28"/>
        </w:rPr>
        <w:t>单位</w:t>
      </w:r>
      <w:r>
        <w:rPr>
          <w:rStyle w:val="18"/>
          <w:rFonts w:hint="eastAsia" w:ascii="仿宋_GB2312" w:hAnsi="宋体" w:eastAsia="仿宋_GB2312"/>
          <w:b w:val="0"/>
          <w:bCs w:val="0"/>
          <w:spacing w:val="-4"/>
          <w:sz w:val="28"/>
          <w:szCs w:val="28"/>
        </w:rPr>
        <w:t>资产总额1005.17万元，其中流动资产41.09万元（其中其他应收款净额41.09万元），固定资产净值934.96万元（其中：土地、房屋及构筑物422.33万元，占固定资产净值的45.17%；通用设备380.25万元，占固定资产净值的40.67%；专用设备18.40万元，占固定资产净值的1.96%；其他113.98万元，占固定资产净值的12.2%）。</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本年度流动资产41.09万元，比上年减少62.79万元，原因是：本年度无财政应返还额度。</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本年度固定资产原值1979.66万元，比上年增加285.99万元，原因是：本年度新购置一批固定资产 。</w:t>
      </w:r>
    </w:p>
    <w:p>
      <w:pPr>
        <w:snapToGrid w:val="0"/>
        <w:spacing w:line="360" w:lineRule="auto"/>
        <w:ind w:firstLine="544" w:firstLineChars="200"/>
        <w:rPr>
          <w:rStyle w:val="18"/>
          <w:rFonts w:ascii="宋体" w:hAnsi="宋体" w:eastAsia="宋体"/>
          <w:bCs w:val="0"/>
          <w:color w:val="FF0000"/>
          <w:spacing w:val="-4"/>
          <w:sz w:val="28"/>
          <w:szCs w:val="28"/>
        </w:rPr>
      </w:pPr>
      <w:r>
        <w:rPr>
          <w:rStyle w:val="18"/>
          <w:rFonts w:hint="eastAsia" w:ascii="仿宋_GB2312" w:hAnsi="宋体" w:eastAsia="仿宋_GB2312"/>
          <w:b w:val="0"/>
          <w:bCs w:val="0"/>
          <w:spacing w:val="-4"/>
          <w:sz w:val="28"/>
          <w:szCs w:val="28"/>
        </w:rPr>
        <w:t>实际在用固定资产1979.66万元，固定资产利用率100%。</w:t>
      </w:r>
    </w:p>
    <w:p>
      <w:pPr>
        <w:pStyle w:val="4"/>
        <w:spacing w:before="0" w:after="0" w:line="360" w:lineRule="auto"/>
        <w:rPr>
          <w:rStyle w:val="18"/>
          <w:rFonts w:ascii="仿宋" w:hAnsi="仿宋" w:eastAsia="仿宋"/>
          <w:b/>
          <w:bCs/>
        </w:rPr>
      </w:pPr>
      <w:bookmarkStart w:id="26" w:name="_Toc70450312"/>
      <w:r>
        <w:rPr>
          <w:rStyle w:val="18"/>
          <w:rFonts w:hint="eastAsia" w:ascii="仿宋" w:hAnsi="仿宋" w:eastAsia="仿宋"/>
          <w:b/>
          <w:bCs/>
        </w:rPr>
        <w:t>（二）资产管理情况</w:t>
      </w:r>
      <w:bookmarkEnd w:id="26"/>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560" w:lineRule="exact"/>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560" w:lineRule="exact"/>
        <w:ind w:firstLine="544" w:firstLineChars="200"/>
        <w:rPr>
          <w:rStyle w:val="18"/>
          <w:rFonts w:ascii="仿宋_GB2312" w:hAnsi="宋体" w:eastAsia="仿宋_GB2312"/>
          <w:b w:val="0"/>
          <w:spacing w:val="-4"/>
          <w:sz w:val="28"/>
          <w:szCs w:val="28"/>
        </w:rPr>
      </w:pPr>
    </w:p>
    <w:p>
      <w:pPr>
        <w:pStyle w:val="3"/>
        <w:spacing w:before="0" w:after="0" w:line="560" w:lineRule="exact"/>
        <w:rPr>
          <w:rFonts w:ascii="仿宋" w:hAnsi="仿宋" w:eastAsia="仿宋"/>
          <w:sz w:val="36"/>
          <w:szCs w:val="36"/>
        </w:rPr>
      </w:pPr>
      <w:bookmarkStart w:id="27" w:name="_Toc70450313"/>
      <w:r>
        <w:rPr>
          <w:rFonts w:hint="eastAsia" w:ascii="仿宋" w:hAnsi="仿宋" w:eastAsia="仿宋"/>
          <w:sz w:val="36"/>
          <w:szCs w:val="36"/>
        </w:rPr>
        <w:t>五、部门单位整体支出绩效情况</w:t>
      </w:r>
      <w:bookmarkEnd w:id="27"/>
    </w:p>
    <w:p>
      <w:pPr>
        <w:pStyle w:val="4"/>
        <w:spacing w:before="0" w:after="0" w:line="560" w:lineRule="exact"/>
        <w:ind w:firstLine="643" w:firstLineChars="200"/>
        <w:rPr>
          <w:rStyle w:val="18"/>
          <w:rFonts w:ascii="仿宋" w:hAnsi="仿宋" w:eastAsia="仿宋"/>
          <w:b/>
          <w:bCs/>
        </w:rPr>
      </w:pPr>
      <w:bookmarkStart w:id="28" w:name="_Toc70450314"/>
      <w:r>
        <w:rPr>
          <w:rStyle w:val="18"/>
          <w:rFonts w:hint="eastAsia" w:ascii="仿宋" w:hAnsi="仿宋" w:eastAsia="仿宋"/>
          <w:b/>
          <w:bCs/>
        </w:rPr>
        <w:t>（一）经济效益评价</w:t>
      </w:r>
      <w:bookmarkEnd w:id="28"/>
    </w:p>
    <w:p>
      <w:pPr>
        <w:spacing w:line="560" w:lineRule="exact"/>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2021年度我单位年初预算安排5143.90万元，年中调整2120.46万元，截止12月底支出3023.44万元，执行率100%。</w:t>
      </w:r>
    </w:p>
    <w:p>
      <w:pPr>
        <w:spacing w:line="560" w:lineRule="exact"/>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560" w:lineRule="exact"/>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8"/>
          <w:rFonts w:ascii="仿宋" w:hAnsi="仿宋" w:eastAsia="仿宋"/>
          <w:b/>
          <w:bCs/>
        </w:rPr>
      </w:pPr>
      <w:bookmarkStart w:id="29" w:name="_Toc70450315"/>
      <w:r>
        <w:rPr>
          <w:rStyle w:val="18"/>
          <w:rFonts w:hint="eastAsia" w:ascii="仿宋" w:hAnsi="仿宋" w:eastAsia="仿宋"/>
          <w:b/>
          <w:bCs/>
        </w:rPr>
        <w:t>（二）效率性评价</w:t>
      </w:r>
      <w:bookmarkEnd w:id="29"/>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2021年，在特克斯县委的大力支持和的正确领导下，我</w:t>
      </w:r>
      <w:r>
        <w:rPr>
          <w:rStyle w:val="18"/>
          <w:rFonts w:hint="eastAsia" w:ascii="仿宋_GB2312" w:hAnsi="楷体" w:eastAsia="仿宋_GB2312"/>
          <w:b w:val="0"/>
          <w:spacing w:val="-4"/>
          <w:sz w:val="28"/>
          <w:szCs w:val="28"/>
        </w:rPr>
        <w:t>单位</w:t>
      </w:r>
      <w:r>
        <w:rPr>
          <w:rStyle w:val="18"/>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pPr>
        <w:spacing w:line="360" w:lineRule="auto"/>
        <w:ind w:firstLine="666" w:firstLineChars="245"/>
        <w:rPr>
          <w:rStyle w:val="18"/>
          <w:rFonts w:ascii="仿宋_GB2312" w:hAnsi="宋体" w:eastAsia="仿宋_GB2312"/>
          <w:b w:val="0"/>
          <w:bCs w:val="0"/>
          <w:spacing w:val="-4"/>
          <w:sz w:val="28"/>
          <w:szCs w:val="28"/>
        </w:rPr>
      </w:pPr>
      <w:r>
        <w:rPr>
          <w:rStyle w:val="18"/>
          <w:rFonts w:hint="eastAsia" w:ascii="仿宋_GB2312" w:hAnsi="宋体" w:eastAsia="仿宋_GB2312"/>
          <w:b w:val="0"/>
          <w:spacing w:val="-4"/>
          <w:sz w:val="28"/>
          <w:szCs w:val="28"/>
        </w:rPr>
        <w:t>1、</w:t>
      </w:r>
      <w:r>
        <w:rPr>
          <w:rStyle w:val="18"/>
          <w:rFonts w:hint="eastAsia" w:ascii="仿宋_GB2312" w:hAnsi="宋体" w:eastAsia="仿宋_GB2312"/>
          <w:b w:val="0"/>
          <w:bCs w:val="0"/>
          <w:spacing w:val="-4"/>
          <w:sz w:val="28"/>
          <w:szCs w:val="28"/>
        </w:rPr>
        <w:t>圆满完成2021年各项工作</w:t>
      </w:r>
    </w:p>
    <w:p>
      <w:pPr>
        <w:tabs>
          <w:tab w:val="left" w:pos="312"/>
        </w:tabs>
        <w:spacing w:line="360" w:lineRule="auto"/>
        <w:ind w:firstLine="560" w:firstLineChars="200"/>
        <w:rPr>
          <w:rFonts w:ascii="仿宋_GB2312" w:hAnsi="Times New Roman" w:eastAsia="仿宋_GB2312" w:cs="Times New Roman"/>
          <w:spacing w:val="-11"/>
          <w:kern w:val="0"/>
          <w:sz w:val="28"/>
          <w:szCs w:val="28"/>
        </w:rPr>
      </w:pPr>
      <w:r>
        <w:rPr>
          <w:rFonts w:hint="eastAsia" w:ascii="仿宋_GB2312" w:hAnsi="Times New Roman" w:eastAsia="仿宋_GB2312" w:cs="Times New Roman"/>
          <w:kern w:val="0"/>
          <w:sz w:val="28"/>
          <w:szCs w:val="28"/>
        </w:rPr>
        <w:t>紧紧围绕全县工作中心，以“抓一流管理，带一流队伍，创一流业绩，树一流形象”为目标，坚持忠诚服务、精诚善业、真诚尚德，争先进位、真抓实干，充分发挥综合协调和参谋助手作用，全面提升“三服务”水平，与县委在决策上合谋、节奏上合拍、工作上合心，圆满完成了全</w:t>
      </w:r>
      <w:r>
        <w:rPr>
          <w:rFonts w:hint="eastAsia" w:ascii="仿宋_GB2312" w:hAnsi="Times New Roman" w:eastAsia="仿宋_GB2312" w:cs="Times New Roman"/>
          <w:spacing w:val="-11"/>
          <w:kern w:val="0"/>
          <w:sz w:val="28"/>
          <w:szCs w:val="28"/>
        </w:rPr>
        <w:t>年各项工作任务。</w:t>
      </w:r>
    </w:p>
    <w:p>
      <w:pPr>
        <w:tabs>
          <w:tab w:val="left" w:pos="312"/>
        </w:tabs>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、各项目工作任务提前完成</w:t>
      </w:r>
    </w:p>
    <w:p>
      <w:pPr>
        <w:pStyle w:val="22"/>
        <w:spacing w:line="540" w:lineRule="exact"/>
        <w:ind w:firstLineChars="150"/>
        <w:rPr>
          <w:rFonts w:ascii="仿宋_GB2312" w:eastAsia="仿宋_GB2312" w:cs="Times New Roman"/>
          <w:kern w:val="0"/>
          <w:sz w:val="28"/>
          <w:szCs w:val="28"/>
          <w:lang w:val="zh-CN"/>
        </w:rPr>
      </w:pPr>
      <w:r>
        <w:rPr>
          <w:rFonts w:hint="eastAsia" w:ascii="仿宋_GB2312" w:hAnsi="Times New Roman" w:eastAsia="仿宋_GB2312" w:cs="Times New Roman"/>
          <w:kern w:val="0"/>
          <w:sz w:val="28"/>
          <w:szCs w:val="28"/>
          <w:lang w:val="zh-CN"/>
        </w:rPr>
        <w:t>牢记党办姓“党”，在“不忘本来”中砥砺忠诚之心。</w:t>
      </w:r>
      <w:r>
        <w:rPr>
          <w:rFonts w:hint="eastAsia" w:ascii="仿宋_GB2312" w:hAnsi="Times New Roman" w:eastAsia="仿宋_GB2312" w:cs="Times New Roman"/>
          <w:bCs/>
          <w:kern w:val="0"/>
          <w:sz w:val="28"/>
          <w:szCs w:val="28"/>
        </w:rPr>
        <w:t>突出政治过硬，站稳政治立场</w:t>
      </w:r>
      <w:r>
        <w:rPr>
          <w:rFonts w:hint="eastAsia" w:ascii="仿宋_GB2312" w:hAnsi="Times New Roman" w:eastAsia="仿宋_GB2312" w:cs="Times New Roman"/>
          <w:kern w:val="0"/>
          <w:sz w:val="28"/>
          <w:szCs w:val="28"/>
        </w:rPr>
        <w:t>。</w:t>
      </w:r>
      <w:r>
        <w:rPr>
          <w:rFonts w:hint="eastAsia" w:ascii="仿宋_GB2312" w:hAnsi="Times New Roman" w:eastAsia="仿宋_GB2312" w:cs="Times New Roman"/>
          <w:bCs/>
          <w:kern w:val="0"/>
          <w:sz w:val="28"/>
          <w:szCs w:val="28"/>
        </w:rPr>
        <w:t>突出思想过硬，坚持学思践悟。突出党史学习教育，坚持使命在肩</w:t>
      </w:r>
      <w:r>
        <w:rPr>
          <w:rFonts w:hint="eastAsia" w:ascii="仿宋_GB2312" w:hAnsi="Times New Roman" w:eastAsia="仿宋_GB2312" w:cs="Times New Roman"/>
          <w:kern w:val="0"/>
          <w:sz w:val="28"/>
          <w:szCs w:val="28"/>
        </w:rPr>
        <w:t>。县委各项工作提前完成。</w:t>
      </w:r>
    </w:p>
    <w:p>
      <w:pPr>
        <w:tabs>
          <w:tab w:val="left" w:pos="312"/>
        </w:tabs>
        <w:spacing w:line="360" w:lineRule="auto"/>
        <w:ind w:firstLine="544" w:firstLineChars="200"/>
        <w:jc w:val="left"/>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3、各项工作成效显著</w:t>
      </w:r>
    </w:p>
    <w:p>
      <w:pPr>
        <w:tabs>
          <w:tab w:val="left" w:pos="312"/>
        </w:tabs>
        <w:spacing w:line="360" w:lineRule="auto"/>
        <w:ind w:firstLine="420" w:firstLineChars="150"/>
        <w:jc w:val="left"/>
        <w:rPr>
          <w:rStyle w:val="18"/>
          <w:rFonts w:ascii="仿宋_GB2312" w:hAnsi="宋体" w:eastAsia="仿宋_GB2312"/>
          <w:b w:val="0"/>
          <w:bCs w:val="0"/>
          <w:spacing w:val="-4"/>
          <w:sz w:val="28"/>
          <w:szCs w:val="28"/>
        </w:rPr>
      </w:pPr>
      <w:r>
        <w:rPr>
          <w:rFonts w:hint="eastAsia" w:ascii="仿宋_GB2312" w:hAnsi="Times New Roman" w:eastAsia="仿宋_GB2312" w:cs="Times New Roman"/>
          <w:sz w:val="28"/>
          <w:szCs w:val="28"/>
          <w:lang w:val="zh-CN"/>
        </w:rPr>
        <w:t>围绕自治区、自治州党委和县委重大决策部署、重点工作、热点焦点问题开展重点督查，实行即批即督、跟踪落实。分类建立台账，对涉稳、涉重大紧急工作和事项实行专人专报，</w:t>
      </w:r>
      <w:r>
        <w:rPr>
          <w:rFonts w:hint="eastAsia" w:ascii="仿宋_GB2312" w:hAnsi="Times New Roman" w:eastAsia="仿宋_GB2312" w:cs="Times New Roman"/>
          <w:sz w:val="28"/>
          <w:szCs w:val="28"/>
        </w:rPr>
        <w:t>每周梳理一次督查办理反馈情况，确保事事有回音、件件有落实。全年共向州党委上报督查专报23期，向县委主要领导呈报督查要情71期，办理领导批示件1488件、办结率100%。</w:t>
      </w:r>
      <w:r>
        <w:rPr>
          <w:rFonts w:hint="eastAsia" w:ascii="仿宋_GB2312" w:hAnsi="Times New Roman" w:eastAsia="仿宋_GB2312" w:cs="Times New Roman"/>
          <w:kern w:val="0"/>
          <w:sz w:val="28"/>
          <w:szCs w:val="28"/>
        </w:rPr>
        <w:t>严格按照自治州党委和县委精文减会要求，印发《关于加强和规范公文流转等事项请示报告的通知》，以2021年度重点精简类文件数量为基数，严格执行报备审核制度，控制发文数量。</w:t>
      </w:r>
      <w:r>
        <w:rPr>
          <w:rFonts w:hint="eastAsia" w:ascii="仿宋_GB2312" w:hAnsi="Times New Roman" w:eastAsia="仿宋_GB2312" w:cs="Times New Roman"/>
          <w:sz w:val="28"/>
          <w:szCs w:val="28"/>
        </w:rPr>
        <w:t>2021年共制发文件148件，全年减幅43.08%。建立会议审批制度，对全县各类会议进行精简统筹，做到少开会、开短会，2021年共召开会议66场，全年减幅49.23%。2021年开展督查检查考核事项7项，较2020年减少6项。</w:t>
      </w:r>
    </w:p>
    <w:p>
      <w:pPr>
        <w:pStyle w:val="6"/>
        <w:numPr>
          <w:ilvl w:val="0"/>
          <w:numId w:val="2"/>
        </w:numPr>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县委各项工作全面达标，群众满意度高。</w:t>
      </w:r>
    </w:p>
    <w:p>
      <w:pPr>
        <w:pStyle w:val="6"/>
        <w:ind w:firstLine="560" w:firstLineChars="200"/>
        <w:rPr>
          <w:rFonts w:ascii="仿宋_GB2312" w:eastAsia="仿宋_GB2312" w:cs="Times New Roman"/>
          <w:sz w:val="28"/>
          <w:szCs w:val="28"/>
        </w:rPr>
      </w:pPr>
      <w:r>
        <w:rPr>
          <w:rFonts w:hint="eastAsia" w:ascii="仿宋_GB2312" w:eastAsia="仿宋_GB2312" w:cs="Times New Roman"/>
          <w:sz w:val="28"/>
          <w:szCs w:val="28"/>
        </w:rPr>
        <w:t>站在“两个一百年”历史交汇点，必须对标习近平总书记强调的“坚持绝对忠诚的政治品格、坚持高度自觉的大局意识、坚持极端负责的工作作风、坚持无怨无悔的奉献精神、坚持廉洁自律的道德操守”“五个坚持”的核心要求，努力锻造一支高素质党办队伍。</w:t>
      </w:r>
    </w:p>
    <w:p>
      <w:pPr>
        <w:ind w:firstLine="680" w:firstLineChars="250"/>
        <w:rPr>
          <w:rStyle w:val="18"/>
          <w:rFonts w:ascii="仿宋_GB2312" w:eastAsia="仿宋_GB2312" w:cs="Times New Roman"/>
          <w:b w:val="0"/>
          <w:bCs w:val="0"/>
          <w:kern w:val="0"/>
          <w:sz w:val="28"/>
          <w:szCs w:val="28"/>
          <w:lang w:val="zh-CN"/>
        </w:rPr>
      </w:pPr>
      <w:r>
        <w:rPr>
          <w:rStyle w:val="18"/>
          <w:rFonts w:ascii="仿宋_GB2312" w:hAnsi="宋体" w:eastAsia="仿宋_GB2312"/>
          <w:b w:val="0"/>
          <w:bCs w:val="0"/>
          <w:spacing w:val="-4"/>
          <w:sz w:val="28"/>
          <w:szCs w:val="28"/>
        </w:rPr>
        <w:t>5</w:t>
      </w:r>
      <w:r>
        <w:rPr>
          <w:rStyle w:val="18"/>
          <w:rFonts w:hint="eastAsia" w:ascii="仿宋_GB2312" w:hAnsi="宋体" w:eastAsia="仿宋_GB2312"/>
          <w:b w:val="0"/>
          <w:bCs w:val="0"/>
          <w:spacing w:val="-4"/>
          <w:sz w:val="28"/>
          <w:szCs w:val="28"/>
        </w:rPr>
        <w:t>、</w:t>
      </w:r>
      <w:r>
        <w:rPr>
          <w:rFonts w:hint="eastAsia" w:ascii="仿宋_GB2312" w:hAnsi="Times New Roman" w:eastAsia="仿宋_GB2312" w:cs="Times New Roman"/>
          <w:kern w:val="0"/>
          <w:sz w:val="28"/>
          <w:szCs w:val="28"/>
          <w:lang w:val="zh-CN"/>
        </w:rPr>
        <w:t>特克斯县委将坚持以习近平新时代中国特色社会主义思想为统领，牢牢扭住社会稳定和长治久安总目标，坚定坚决贯彻落实自治区、自治州党委和县委决策部署、工作要求，认真履行好综合协调、信息服务、参谋助手、督查落实等功能，充分发挥沟通上下、联系左右、协调内外作用，切实肩负起党委“坚强前哨”“巩固后院”职责，</w:t>
      </w:r>
      <w:r>
        <w:rPr>
          <w:rFonts w:hint="eastAsia" w:ascii="仿宋_GB2312" w:hAnsi="Times New Roman" w:eastAsia="仿宋_GB2312" w:cs="Times New Roman"/>
          <w:sz w:val="28"/>
          <w:szCs w:val="28"/>
        </w:rPr>
        <w:t>以“生于斯长于斯”的深切情怀，以“功成不必在我、功成必定有我”的境界格局，以认真负责、一抓到底，不负组织重托的品格，以敢于担当、不甘落后，强烈荣辱意识支撑的进取精神，感恩奋进、起而行之，为建设团结和谐、繁荣富裕、文明进步、安居乐业、生态良好的特克斯贡献党办力量。</w:t>
      </w:r>
    </w:p>
    <w:p>
      <w:pPr>
        <w:pStyle w:val="4"/>
        <w:spacing w:line="360" w:lineRule="auto"/>
        <w:ind w:firstLine="643" w:firstLineChars="200"/>
        <w:rPr>
          <w:rStyle w:val="18"/>
          <w:rFonts w:ascii="仿宋" w:hAnsi="仿宋" w:eastAsia="仿宋"/>
          <w:b/>
          <w:bCs/>
        </w:rPr>
      </w:pPr>
      <w:bookmarkStart w:id="30" w:name="_Toc70450316"/>
      <w:r>
        <w:rPr>
          <w:rStyle w:val="18"/>
          <w:rFonts w:hint="eastAsia" w:ascii="仿宋" w:hAnsi="仿宋" w:eastAsia="仿宋"/>
          <w:b/>
          <w:bCs/>
        </w:rPr>
        <w:t>（三）有效性评价</w:t>
      </w:r>
      <w:bookmarkEnd w:id="30"/>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部门支出的有效性主要体现在我单位各项工作成效上，一是确保各部门工作顺利开展，保障机关工作正常高效运转，提高工作人员能力，提高资金使用效益。二是预算执行得到加强，三是保障和改善了民生，推动经济社会发展。四是建立健全全面规范、公开透明的预算制度，保障经济社会的健康发展。详细情况如下：</w:t>
      </w:r>
    </w:p>
    <w:p>
      <w:pPr>
        <w:snapToGrid w:val="0"/>
        <w:spacing w:line="360" w:lineRule="auto"/>
        <w:ind w:firstLine="544" w:firstLineChars="200"/>
        <w:rPr>
          <w:rStyle w:val="18"/>
          <w:rFonts w:ascii="仿宋_GB2312" w:eastAsia="仿宋_GB2312" w:hAnsiTheme="minorEastAsia"/>
          <w:b w:val="0"/>
          <w:spacing w:val="-4"/>
          <w:sz w:val="28"/>
          <w:szCs w:val="28"/>
        </w:rPr>
      </w:pPr>
      <w:r>
        <w:rPr>
          <w:rStyle w:val="18"/>
          <w:rFonts w:hint="eastAsia" w:ascii="仿宋_GB2312" w:eastAsia="仿宋_GB2312" w:hAnsiTheme="minorEastAsia"/>
          <w:b w:val="0"/>
          <w:spacing w:val="-4"/>
          <w:sz w:val="28"/>
          <w:szCs w:val="28"/>
        </w:rPr>
        <w:t>中共特克斯县委员会办公以部门单位整体绩效目标共设置一级指标 3 个，二级指标6个，三级指标 14 个，详细说明如下</w:t>
      </w:r>
    </w:p>
    <w:p>
      <w:pPr>
        <w:snapToGrid w:val="0"/>
        <w:spacing w:line="360" w:lineRule="auto"/>
        <w:ind w:firstLine="544" w:firstLineChars="200"/>
        <w:rPr>
          <w:rStyle w:val="18"/>
          <w:rFonts w:ascii="仿宋_GB2312" w:hAnsi="宋体" w:eastAsia="仿宋_GB2312"/>
          <w:b w:val="0"/>
          <w:spacing w:val="-4"/>
          <w:sz w:val="28"/>
          <w:szCs w:val="28"/>
        </w:rPr>
      </w:pPr>
      <w:r>
        <w:rPr>
          <w:rStyle w:val="18"/>
          <w:rFonts w:ascii="仿宋_GB2312" w:hAnsi="宋体" w:eastAsia="仿宋_GB2312"/>
          <w:b w:val="0"/>
          <w:spacing w:val="-4"/>
          <w:sz w:val="28"/>
          <w:szCs w:val="28"/>
        </w:rPr>
        <w:t>1</w:t>
      </w:r>
      <w:r>
        <w:rPr>
          <w:rStyle w:val="18"/>
          <w:rFonts w:hint="eastAsia" w:ascii="仿宋_GB2312" w:hAnsi="宋体" w:eastAsia="仿宋_GB2312"/>
          <w:b w:val="0"/>
          <w:spacing w:val="-4"/>
          <w:sz w:val="28"/>
          <w:szCs w:val="28"/>
        </w:rPr>
        <w:t>、数量指标：</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指标1：人员保障人数，指标值：≥206人 ，实际完成值：206人 ，指标完成率100%。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w:t>
      </w:r>
      <w:r>
        <w:rPr>
          <w:rStyle w:val="18"/>
          <w:rFonts w:ascii="仿宋_GB2312" w:hAnsi="宋体" w:eastAsia="仿宋_GB2312"/>
          <w:b w:val="0"/>
          <w:spacing w:val="-4"/>
          <w:sz w:val="28"/>
          <w:szCs w:val="28"/>
        </w:rPr>
        <w:t>2</w:t>
      </w:r>
      <w:r>
        <w:rPr>
          <w:rStyle w:val="18"/>
          <w:rFonts w:hint="eastAsia" w:ascii="仿宋_GB2312" w:hAnsi="宋体" w:eastAsia="仿宋_GB2312"/>
          <w:b w:val="0"/>
          <w:spacing w:val="-4"/>
          <w:sz w:val="28"/>
          <w:szCs w:val="28"/>
        </w:rPr>
        <w:t>：日常办公用车保障数量，指标值：=12辆 ，实际完成值：12辆 ，指标完成率100%。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指标3：2021年村级干部补助各类项目人数，指标值：=1359人 ，实际完成值：0人，指标完成率0%。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指标4：2021年村级干部发放人员补贴次数，指标值：=12次 ，实际完成值：0次 ，指标完成率0%。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ascii="仿宋_GB2312" w:hAnsi="宋体" w:eastAsia="仿宋_GB2312"/>
          <w:b w:val="0"/>
          <w:spacing w:val="-4"/>
          <w:sz w:val="28"/>
          <w:szCs w:val="28"/>
        </w:rPr>
        <w:t>2</w:t>
      </w:r>
      <w:r>
        <w:rPr>
          <w:rStyle w:val="18"/>
          <w:rFonts w:hint="eastAsia" w:ascii="仿宋_GB2312" w:hAnsi="宋体" w:eastAsia="仿宋_GB2312"/>
          <w:b w:val="0"/>
          <w:spacing w:val="-4"/>
          <w:sz w:val="28"/>
          <w:szCs w:val="28"/>
        </w:rPr>
        <w:t>、质量指标：</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指标1：工资及政策社会保障、公用经费保障率，指标值：≥95% ，实际完成值：95% ，指标完成率100%。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w:t>
      </w:r>
      <w:r>
        <w:rPr>
          <w:rStyle w:val="18"/>
          <w:rFonts w:ascii="仿宋_GB2312" w:hAnsi="宋体" w:eastAsia="仿宋_GB2312"/>
          <w:b w:val="0"/>
          <w:spacing w:val="-4"/>
          <w:sz w:val="28"/>
          <w:szCs w:val="28"/>
        </w:rPr>
        <w:t>2</w:t>
      </w:r>
      <w:r>
        <w:rPr>
          <w:rStyle w:val="18"/>
          <w:rFonts w:hint="eastAsia" w:ascii="仿宋_GB2312" w:hAnsi="宋体" w:eastAsia="仿宋_GB2312"/>
          <w:b w:val="0"/>
          <w:spacing w:val="-4"/>
          <w:sz w:val="28"/>
          <w:szCs w:val="28"/>
        </w:rPr>
        <w:t>：发放资金准确率，指标值：</w:t>
      </w:r>
      <w:r>
        <w:rPr>
          <w:rStyle w:val="18"/>
          <w:rFonts w:ascii="仿宋_GB2312" w:hAnsi="宋体" w:eastAsia="仿宋_GB2312"/>
          <w:b w:val="0"/>
          <w:spacing w:val="-4"/>
          <w:sz w:val="28"/>
          <w:szCs w:val="28"/>
        </w:rPr>
        <w:t>=100%</w:t>
      </w:r>
      <w:r>
        <w:rPr>
          <w:rStyle w:val="18"/>
          <w:rFonts w:hint="eastAsia" w:ascii="仿宋_GB2312" w:hAnsi="宋体" w:eastAsia="仿宋_GB2312"/>
          <w:b w:val="0"/>
          <w:spacing w:val="-4"/>
          <w:sz w:val="28"/>
          <w:szCs w:val="28"/>
        </w:rPr>
        <w:t xml:space="preserve"> ，实际完成值：100%  ，指标完成率100%.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ascii="仿宋_GB2312" w:hAnsi="宋体" w:eastAsia="仿宋_GB2312"/>
          <w:b w:val="0"/>
          <w:spacing w:val="-4"/>
          <w:sz w:val="28"/>
          <w:szCs w:val="28"/>
        </w:rPr>
        <w:t>3</w:t>
      </w:r>
      <w:r>
        <w:rPr>
          <w:rStyle w:val="18"/>
          <w:rFonts w:hint="eastAsia" w:ascii="仿宋_GB2312" w:hAnsi="宋体" w:eastAsia="仿宋_GB2312"/>
          <w:b w:val="0"/>
          <w:spacing w:val="-4"/>
          <w:sz w:val="28"/>
          <w:szCs w:val="28"/>
        </w:rPr>
        <w:t>、时效指标：</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指标1：发放资金及时性 ，指标值：≥95% ，实际完成值：95%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bookmarkStart w:id="37" w:name="_GoBack"/>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指标1：保障人员人均支出标准，指标值：≤7.41万元，实际完成值：7.41万元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：人均运转经费数，指标值≤0.79万元  ，实际完成值：0.79万元 ，指标完成率100%。</w:t>
      </w:r>
    </w:p>
    <w:bookmarkEnd w:id="37"/>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指标3：2021年村级干部补助资金每次发放资金数，指标值≤291.67万元，实际完成值：0万元 ，指标完成率0%。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5、社会效益指标：</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指标1：促进部门改进文风会风，指标值：有效促进，实际完成值：有效促进，指标完成率100%；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w:t>
      </w:r>
      <w:r>
        <w:rPr>
          <w:rStyle w:val="18"/>
          <w:rFonts w:ascii="仿宋_GB2312" w:hAnsi="宋体" w:eastAsia="仿宋_GB2312"/>
          <w:b w:val="0"/>
          <w:spacing w:val="-4"/>
          <w:sz w:val="28"/>
          <w:szCs w:val="28"/>
        </w:rPr>
        <w:t>2</w:t>
      </w:r>
      <w:r>
        <w:rPr>
          <w:rStyle w:val="18"/>
          <w:rFonts w:hint="eastAsia" w:ascii="仿宋_GB2312" w:hAnsi="宋体" w:eastAsia="仿宋_GB2312"/>
          <w:b w:val="0"/>
          <w:spacing w:val="-4"/>
          <w:sz w:val="28"/>
          <w:szCs w:val="28"/>
        </w:rPr>
        <w:t>：提高村干部为民服务水平，指标值：有所提高，实际完成值：有所提高，指标完成率100%；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6、满意度指标：</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指标1：职工满意度，指标值：≥95%，实际完成值：95%，指标完成率100%；</w:t>
      </w:r>
    </w:p>
    <w:p>
      <w:pPr>
        <w:snapToGrid w:val="0"/>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指标</w:t>
      </w:r>
      <w:r>
        <w:rPr>
          <w:rStyle w:val="18"/>
          <w:rFonts w:ascii="仿宋_GB2312" w:hAnsi="宋体" w:eastAsia="仿宋_GB2312"/>
          <w:b w:val="0"/>
          <w:spacing w:val="-4"/>
          <w:sz w:val="28"/>
          <w:szCs w:val="28"/>
        </w:rPr>
        <w:t>2</w:t>
      </w:r>
      <w:r>
        <w:rPr>
          <w:rStyle w:val="18"/>
          <w:rFonts w:hint="eastAsia" w:ascii="仿宋_GB2312" w:hAnsi="宋体" w:eastAsia="仿宋_GB2312"/>
          <w:b w:val="0"/>
          <w:spacing w:val="-4"/>
          <w:sz w:val="28"/>
          <w:szCs w:val="28"/>
        </w:rPr>
        <w:t>：村干部人员满意度，指标值：≥95%，实际完成值：95% ，指标完成率100%。</w:t>
      </w:r>
    </w:p>
    <w:p>
      <w:pPr>
        <w:pStyle w:val="3"/>
        <w:spacing w:line="560" w:lineRule="exact"/>
        <w:rPr>
          <w:rFonts w:ascii="仿宋" w:hAnsi="仿宋" w:eastAsia="仿宋"/>
          <w:sz w:val="36"/>
          <w:szCs w:val="36"/>
        </w:rPr>
      </w:pPr>
      <w:bookmarkStart w:id="31" w:name="_Toc70450317"/>
      <w:r>
        <w:rPr>
          <w:rFonts w:hint="eastAsia" w:ascii="仿宋" w:hAnsi="仿宋" w:eastAsia="仿宋"/>
          <w:sz w:val="36"/>
          <w:szCs w:val="36"/>
        </w:rPr>
        <w:t>六、存在的主要问题</w:t>
      </w:r>
      <w:bookmarkEnd w:id="31"/>
    </w:p>
    <w:p>
      <w:pPr>
        <w:pStyle w:val="14"/>
        <w:widowControl/>
        <w:spacing w:before="40" w:beforeAutospacing="0" w:after="0" w:afterAutospacing="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(一)预算执行存在偏差</w:t>
      </w:r>
    </w:p>
    <w:p>
      <w:pPr>
        <w:pStyle w:val="14"/>
        <w:widowControl/>
        <w:spacing w:before="40" w:beforeAutospacing="0" w:after="0" w:afterAutospacing="0" w:line="560" w:lineRule="exact"/>
        <w:ind w:firstLine="52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3"/>
        <w:numPr>
          <w:ilvl w:val="0"/>
          <w:numId w:val="3"/>
        </w:numPr>
        <w:spacing w:line="560" w:lineRule="exact"/>
        <w:ind w:firstLine="546" w:firstLineChars="195"/>
        <w:rPr>
          <w:rFonts w:ascii="仿宋_GB2312" w:hAnsi="仿宋_GB2312" w:eastAsia="仿宋_GB2312" w:cs="仿宋_GB2312"/>
          <w:sz w:val="28"/>
        </w:rPr>
      </w:pPr>
      <w:r>
        <w:rPr>
          <w:rFonts w:hint="eastAsia" w:ascii="仿宋_GB2312" w:hAnsi="仿宋_GB2312" w:eastAsia="仿宋_GB2312" w:cs="仿宋_GB2312"/>
          <w:sz w:val="28"/>
        </w:rPr>
        <w:t>项目细化管理工作不足。</w:t>
      </w:r>
      <w:r>
        <w:rPr>
          <w:rFonts w:ascii="仿宋_GB2312" w:hAnsi="仿宋_GB2312" w:eastAsia="仿宋_GB2312" w:cs="仿宋_GB2312"/>
          <w:sz w:val="28"/>
        </w:rPr>
        <w:t>县委各部门经费包含小类项目较多，在执行过程中，经费的使用范围并不能把握到位，造成项目遇到各种不确定因素，财政资金无法发挥最大使用效益。</w:t>
      </w:r>
    </w:p>
    <w:p>
      <w:pPr>
        <w:pStyle w:val="33"/>
        <w:spacing w:line="5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（三）预算绩效管理水平仍有欠缺。在</w:t>
      </w:r>
      <w:r>
        <w:rPr>
          <w:rFonts w:ascii="仿宋_GB2312" w:hAnsi="仿宋_GB2312" w:eastAsia="仿宋_GB2312" w:cs="仿宋_GB2312"/>
          <w:sz w:val="28"/>
        </w:rPr>
        <w:t>2020</w:t>
      </w:r>
      <w:r>
        <w:rPr>
          <w:rFonts w:hint="eastAsia" w:ascii="仿宋_GB2312" w:hAnsi="仿宋_GB2312" w:eastAsia="仿宋_GB2312" w:cs="仿宋_GB2312"/>
          <w:sz w:val="28"/>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4"/>
        <w:widowControl/>
        <w:spacing w:before="40" w:beforeAutospacing="0" w:after="0" w:afterAutospacing="0" w:line="560" w:lineRule="exact"/>
        <w:ind w:firstLine="280" w:firstLineChars="1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（四）固定资产管理水平有待提高</w:t>
      </w:r>
    </w:p>
    <w:p>
      <w:pPr>
        <w:pStyle w:val="14"/>
        <w:widowControl/>
        <w:spacing w:before="40" w:beforeAutospacing="0" w:after="0" w:afterAutospacing="0" w:line="560" w:lineRule="exact"/>
        <w:ind w:firstLine="52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固定资产台账未及时与账面资产金额对账且末与实物进行清点及及时清理处置报废资产导致资产台账与账面资产金额存在差异,固定资产管理继续加强中。</w:t>
      </w:r>
    </w:p>
    <w:p>
      <w:pPr>
        <w:pStyle w:val="3"/>
        <w:spacing w:line="560" w:lineRule="exact"/>
        <w:rPr>
          <w:rFonts w:ascii="仿宋" w:hAnsi="仿宋" w:eastAsia="仿宋"/>
          <w:sz w:val="36"/>
          <w:szCs w:val="36"/>
        </w:rPr>
      </w:pPr>
      <w:bookmarkStart w:id="32" w:name="_Toc70450318"/>
      <w:r>
        <w:rPr>
          <w:rFonts w:hint="eastAsia" w:ascii="仿宋" w:hAnsi="仿宋" w:eastAsia="仿宋"/>
          <w:sz w:val="36"/>
          <w:szCs w:val="36"/>
        </w:rPr>
        <w:t>七、改进措施和建议</w:t>
      </w:r>
      <w:bookmarkEnd w:id="32"/>
    </w:p>
    <w:p>
      <w:pPr>
        <w:pStyle w:val="4"/>
        <w:spacing w:line="560" w:lineRule="exact"/>
        <w:ind w:firstLine="315" w:firstLineChars="98"/>
        <w:rPr>
          <w:rStyle w:val="18"/>
          <w:rFonts w:ascii="仿宋" w:hAnsi="仿宋" w:eastAsia="仿宋"/>
          <w:b/>
          <w:bCs/>
        </w:rPr>
      </w:pPr>
      <w:bookmarkStart w:id="33" w:name="_Toc70450319"/>
      <w:r>
        <w:rPr>
          <w:rStyle w:val="18"/>
          <w:rFonts w:hint="eastAsia" w:ascii="仿宋" w:hAnsi="仿宋" w:eastAsia="仿宋"/>
          <w:b/>
          <w:bCs/>
        </w:rPr>
        <w:t>（一）改进措施</w:t>
      </w:r>
      <w:bookmarkEnd w:id="33"/>
    </w:p>
    <w:p>
      <w:pPr>
        <w:pStyle w:val="14"/>
        <w:widowControl/>
        <w:spacing w:before="40" w:beforeAutospacing="0" w:after="0" w:afterAutospacing="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完善管理制度,进-步加强资产管理。严格按照《固定资产管理办法》的规定，加强固定资产管理,及时登记、更新台账，加强资产卡片管理,对各类实物资产进行全面盘点,确保账账、账实相符。</w:t>
      </w:r>
    </w:p>
    <w:p>
      <w:pPr>
        <w:pStyle w:val="14"/>
        <w:widowControl/>
        <w:spacing w:before="40" w:beforeAutospacing="0" w:after="0" w:afterAutospacing="0" w:line="5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从源头上强化对专项资金预算管理。实行专项资金预算管理，结合单位实际, 按轻重缓急统筹安排编制预算,提高预算编制科学性和合理性,优化资金结构。按时间进度分解资金使用计划。专项资金的使用，要事前做计划，事中进行控制，事后总结提高。合理安排资金使用,充分体现资金投向的目标和效益。</w:t>
      </w:r>
    </w:p>
    <w:p>
      <w:pPr>
        <w:pStyle w:val="4"/>
        <w:spacing w:line="560" w:lineRule="exact"/>
        <w:ind w:firstLine="472" w:firstLineChars="147"/>
        <w:rPr>
          <w:rStyle w:val="18"/>
          <w:rFonts w:ascii="仿宋" w:hAnsi="仿宋" w:eastAsia="仿宋"/>
          <w:b/>
          <w:bCs/>
        </w:rPr>
      </w:pPr>
      <w:bookmarkStart w:id="34" w:name="_Toc70450320"/>
      <w:r>
        <w:rPr>
          <w:rStyle w:val="18"/>
          <w:rFonts w:hint="eastAsia" w:ascii="仿宋" w:hAnsi="仿宋" w:eastAsia="仿宋"/>
          <w:b/>
          <w:bCs/>
        </w:rPr>
        <w:t>（二）建议</w:t>
      </w:r>
      <w:bookmarkEnd w:id="34"/>
    </w:p>
    <w:p>
      <w:pPr>
        <w:pStyle w:val="4"/>
        <w:spacing w:line="560" w:lineRule="exact"/>
        <w:ind w:firstLine="548" w:firstLineChars="196"/>
        <w:rPr>
          <w:rFonts w:ascii="仿宋_GB2312" w:hAnsi="仿宋_GB2312" w:eastAsia="仿宋_GB2312" w:cs="仿宋_GB2312"/>
          <w:b w:val="0"/>
          <w:bCs w:val="0"/>
          <w:color w:val="000000"/>
          <w:kern w:val="0"/>
          <w:sz w:val="28"/>
          <w:szCs w:val="28"/>
        </w:rPr>
      </w:pPr>
      <w:r>
        <w:rPr>
          <w:rFonts w:hint="eastAsia" w:ascii="仿宋_GB2312" w:hAnsi="仿宋_GB2312" w:eastAsia="仿宋_GB2312" w:cs="仿宋_GB2312"/>
          <w:b w:val="0"/>
          <w:bCs w:val="0"/>
          <w:color w:val="000000"/>
          <w:kern w:val="0"/>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8"/>
          <w:rFonts w:ascii="仿宋" w:hAnsi="仿宋" w:eastAsia="仿宋"/>
          <w:b/>
          <w:bCs/>
          <w:sz w:val="36"/>
          <w:szCs w:val="36"/>
        </w:rPr>
      </w:pPr>
      <w:bookmarkStart w:id="35" w:name="_Toc70450321"/>
      <w:r>
        <w:rPr>
          <w:rStyle w:val="18"/>
          <w:rFonts w:hint="eastAsia" w:ascii="仿宋" w:hAnsi="仿宋" w:eastAsia="仿宋"/>
          <w:b/>
          <w:bCs/>
          <w:sz w:val="36"/>
          <w:szCs w:val="36"/>
        </w:rPr>
        <w:t>八、附表</w:t>
      </w:r>
      <w:r>
        <w:rPr>
          <w:rStyle w:val="18"/>
          <w:rFonts w:hint="eastAsia" w:ascii="仿宋" w:hAnsi="仿宋" w:eastAsia="仿宋"/>
          <w:b w:val="0"/>
          <w:bCs w:val="0"/>
          <w:spacing w:val="-4"/>
          <w:sz w:val="36"/>
          <w:szCs w:val="36"/>
        </w:rPr>
        <w:t>：</w:t>
      </w:r>
      <w:bookmarkStart w:id="36" w:name="_Hlk70450148"/>
      <w:r>
        <w:rPr>
          <w:rStyle w:val="18"/>
          <w:rFonts w:hint="eastAsia" w:ascii="仿宋" w:hAnsi="仿宋" w:eastAsia="仿宋"/>
          <w:b/>
          <w:bCs/>
          <w:sz w:val="36"/>
          <w:szCs w:val="36"/>
        </w:rPr>
        <w:t>《部门整体支出绩效目标自评表》</w:t>
      </w:r>
      <w:bookmarkEnd w:id="35"/>
      <w:bookmarkEnd w:id="36"/>
    </w:p>
    <w:p>
      <w:r>
        <w:br w:type="page"/>
      </w:r>
    </w:p>
    <w:tbl>
      <w:tblPr>
        <w:tblStyle w:val="16"/>
        <w:tblW w:w="0" w:type="auto"/>
        <w:tblInd w:w="93" w:type="dxa"/>
        <w:tblLayout w:type="fixed"/>
        <w:tblCellMar>
          <w:top w:w="0" w:type="dxa"/>
          <w:left w:w="108" w:type="dxa"/>
          <w:bottom w:w="0" w:type="dxa"/>
          <w:right w:w="108" w:type="dxa"/>
        </w:tblCellMar>
      </w:tblPr>
      <w:tblGrid>
        <w:gridCol w:w="668"/>
        <w:gridCol w:w="997"/>
        <w:gridCol w:w="1291"/>
        <w:gridCol w:w="1011"/>
        <w:gridCol w:w="1011"/>
        <w:gridCol w:w="714"/>
        <w:gridCol w:w="1011"/>
        <w:gridCol w:w="505"/>
        <w:gridCol w:w="507"/>
        <w:gridCol w:w="714"/>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widowControl/>
              <w:jc w:val="center"/>
              <w:textAlignment w:val="center"/>
              <w:rPr>
                <w:rFonts w:ascii="方正小标宋_GBK" w:hAnsi="宋体" w:eastAsia="方正小标宋_GBK" w:cs="宋体"/>
                <w:kern w:val="0"/>
                <w:sz w:val="44"/>
                <w:szCs w:val="44"/>
              </w:rPr>
            </w:pPr>
            <w:r>
              <w:rPr>
                <w:rFonts w:hint="eastAsia" w:ascii="宋体" w:hAnsi="宋体" w:eastAsia="宋体" w:cs="宋体"/>
                <w:b/>
                <w:bCs/>
                <w:color w:val="000000"/>
                <w:kern w:val="0"/>
                <w:sz w:val="32"/>
                <w:szCs w:val="32"/>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32"/>
                <w:szCs w:val="32"/>
              </w:rPr>
              <w:t>(2021年)</w:t>
            </w:r>
          </w:p>
        </w:tc>
      </w:tr>
      <w:tr>
        <w:tblPrEx>
          <w:tblCellMar>
            <w:top w:w="0" w:type="dxa"/>
            <w:left w:w="108" w:type="dxa"/>
            <w:bottom w:w="0" w:type="dxa"/>
            <w:right w:w="108" w:type="dxa"/>
          </w:tblCellMar>
        </w:tblPrEx>
        <w:trPr>
          <w:trHeight w:val="285" w:hRule="atLeast"/>
        </w:trPr>
        <w:tc>
          <w:tcPr>
            <w:tcW w:w="1665" w:type="dxa"/>
            <w:gridSpan w:val="2"/>
            <w:tcBorders>
              <w:top w:val="nil"/>
              <w:left w:val="nil"/>
              <w:bottom w:val="nil"/>
              <w:right w:val="nil"/>
            </w:tcBorders>
            <w:shd w:val="clear" w:color="auto" w:fill="auto"/>
            <w:noWrap/>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部门（单位）名称</w:t>
            </w:r>
          </w:p>
        </w:tc>
        <w:tc>
          <w:tcPr>
            <w:tcW w:w="6764" w:type="dxa"/>
            <w:gridSpan w:val="8"/>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rPr>
              <w:t>中共特克斯县委员会办公室</w:t>
            </w:r>
          </w:p>
        </w:tc>
      </w:tr>
      <w:tr>
        <w:tblPrEx>
          <w:tblCellMar>
            <w:top w:w="0" w:type="dxa"/>
            <w:left w:w="108" w:type="dxa"/>
            <w:bottom w:w="0" w:type="dxa"/>
            <w:right w:w="108" w:type="dxa"/>
          </w:tblCellMar>
        </w:tblPrEx>
        <w:trPr>
          <w:trHeight w:val="285" w:hRule="atLeast"/>
        </w:trPr>
        <w:tc>
          <w:tcPr>
            <w:tcW w:w="668"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年度主要任务</w:t>
            </w:r>
          </w:p>
        </w:tc>
        <w:tc>
          <w:tcPr>
            <w:tcW w:w="997"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任务名称</w:t>
            </w:r>
          </w:p>
        </w:tc>
        <w:tc>
          <w:tcPr>
            <w:tcW w:w="1291"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主要内容</w:t>
            </w:r>
          </w:p>
        </w:tc>
        <w:tc>
          <w:tcPr>
            <w:tcW w:w="27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预算金额（万元）</w:t>
            </w:r>
          </w:p>
        </w:tc>
        <w:tc>
          <w:tcPr>
            <w:tcW w:w="273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实际执行（万元）</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9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29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11"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总额</w:t>
            </w:r>
          </w:p>
        </w:tc>
        <w:tc>
          <w:tcPr>
            <w:tcW w:w="1011"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rPr>
              <w:t>财政拨款</w:t>
            </w:r>
          </w:p>
        </w:tc>
        <w:tc>
          <w:tcPr>
            <w:tcW w:w="714"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其他资金</w:t>
            </w:r>
          </w:p>
        </w:tc>
        <w:tc>
          <w:tcPr>
            <w:tcW w:w="1011"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总额</w:t>
            </w:r>
          </w:p>
        </w:tc>
        <w:tc>
          <w:tcPr>
            <w:tcW w:w="101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财政拨款</w:t>
            </w:r>
          </w:p>
        </w:tc>
        <w:tc>
          <w:tcPr>
            <w:tcW w:w="714"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rPr>
              <w:t>其他资金</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人员保障</w:t>
            </w:r>
          </w:p>
        </w:tc>
        <w:tc>
          <w:tcPr>
            <w:tcW w:w="1291" w:type="dxa"/>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4"/>
              </w:rPr>
              <w:t>用于保障部门单位人员发放工资福利支出及对个人和家庭补助</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1526.00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1526.00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0.00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1526.00 </w:t>
            </w:r>
          </w:p>
        </w:tc>
        <w:tc>
          <w:tcPr>
            <w:tcW w:w="1012"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4"/>
              </w:rPr>
              <w:t xml:space="preserve">1526.00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rPr>
              <w:t xml:space="preserve">0.00 </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运转保障</w:t>
            </w:r>
          </w:p>
        </w:tc>
        <w:tc>
          <w:tcPr>
            <w:tcW w:w="1291" w:type="dxa"/>
            <w:tcBorders>
              <w:top w:val="nil"/>
              <w:left w:val="nil"/>
              <w:bottom w:val="single" w:color="auto"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运转保障包括办公费、水费、电费、邮电费、取暖费、差旅费、公务用车运行维护费等</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 xml:space="preserve">117.90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117.90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rPr>
              <w:t xml:space="preserve">0.00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b/>
                <w:bCs/>
                <w:sz w:val="20"/>
                <w:szCs w:val="20"/>
              </w:rPr>
            </w:pPr>
            <w:r>
              <w:rPr>
                <w:rFonts w:hint="eastAsia" w:ascii="宋体" w:hAnsi="宋体" w:eastAsia="宋体" w:cs="宋体"/>
                <w:color w:val="000000"/>
                <w:kern w:val="0"/>
                <w:sz w:val="24"/>
              </w:rPr>
              <w:t xml:space="preserve">117.90 </w:t>
            </w:r>
          </w:p>
        </w:tc>
        <w:tc>
          <w:tcPr>
            <w:tcW w:w="1012"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4"/>
              </w:rPr>
              <w:t xml:space="preserve">117.90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b/>
                <w:bCs/>
                <w:sz w:val="20"/>
                <w:szCs w:val="20"/>
              </w:rPr>
            </w:pPr>
            <w:r>
              <w:rPr>
                <w:rFonts w:hint="eastAsia" w:ascii="宋体" w:hAnsi="宋体" w:eastAsia="宋体" w:cs="宋体"/>
                <w:color w:val="000000"/>
                <w:kern w:val="0"/>
                <w:sz w:val="20"/>
                <w:szCs w:val="20"/>
              </w:rPr>
              <w:t xml:space="preserve">0.00 </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特克斯县2021年村级干部补助项目</w:t>
            </w:r>
          </w:p>
        </w:tc>
        <w:tc>
          <w:tcPr>
            <w:tcW w:w="1291" w:type="dxa"/>
            <w:tcBorders>
              <w:top w:val="nil"/>
              <w:left w:val="nil"/>
              <w:bottom w:val="single" w:color="auto"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对村“两委”干部、大学生村干部工资待遇及保险发放，以及“三老四类”人员生活补助</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 xml:space="preserve">3500.00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3500.00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rPr>
              <w:t xml:space="preserve">0.00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b/>
                <w:bCs/>
                <w:sz w:val="20"/>
                <w:szCs w:val="20"/>
              </w:rPr>
            </w:pPr>
            <w:r>
              <w:rPr>
                <w:rFonts w:hint="eastAsia" w:ascii="宋体" w:hAnsi="宋体" w:eastAsia="宋体" w:cs="宋体"/>
                <w:color w:val="000000"/>
                <w:kern w:val="0"/>
                <w:sz w:val="20"/>
                <w:szCs w:val="20"/>
              </w:rPr>
              <w:t xml:space="preserve">0.00 </w:t>
            </w:r>
          </w:p>
        </w:tc>
        <w:tc>
          <w:tcPr>
            <w:tcW w:w="1012"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rPr>
              <w:t xml:space="preserve">0.00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b/>
                <w:bCs/>
                <w:sz w:val="20"/>
                <w:szCs w:val="20"/>
              </w:rPr>
            </w:pPr>
            <w:r>
              <w:rPr>
                <w:rFonts w:hint="eastAsia" w:ascii="宋体" w:hAnsi="宋体" w:eastAsia="宋体" w:cs="宋体"/>
                <w:color w:val="000000"/>
                <w:kern w:val="0"/>
                <w:sz w:val="20"/>
                <w:szCs w:val="20"/>
              </w:rPr>
              <w:t xml:space="preserve">0.00 </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b/>
                <w:bCs/>
                <w:color w:val="000000"/>
                <w:kern w:val="0"/>
                <w:sz w:val="24"/>
              </w:rPr>
              <w:t>金额合计</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 xml:space="preserve">5143.90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5143.90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0.00 </w:t>
            </w:r>
          </w:p>
        </w:tc>
        <w:tc>
          <w:tcPr>
            <w:tcW w:w="1011"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1643.90 </w:t>
            </w:r>
          </w:p>
        </w:tc>
        <w:tc>
          <w:tcPr>
            <w:tcW w:w="1012" w:type="dxa"/>
            <w:gridSpan w:val="2"/>
            <w:tcBorders>
              <w:top w:val="nil"/>
              <w:left w:val="nil"/>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4"/>
              </w:rPr>
              <w:t xml:space="preserve">1643.90 </w:t>
            </w:r>
          </w:p>
        </w:tc>
        <w:tc>
          <w:tcPr>
            <w:tcW w:w="714"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 xml:space="preserve">0.00 </w:t>
            </w:r>
          </w:p>
        </w:tc>
      </w:tr>
      <w:tr>
        <w:tblPrEx>
          <w:tblCellMar>
            <w:top w:w="0" w:type="dxa"/>
            <w:left w:w="108" w:type="dxa"/>
            <w:bottom w:w="0" w:type="dxa"/>
            <w:right w:w="108" w:type="dxa"/>
          </w:tblCellMar>
        </w:tblPrEx>
        <w:trPr>
          <w:trHeight w:val="285" w:hRule="atLeast"/>
        </w:trPr>
        <w:tc>
          <w:tcPr>
            <w:tcW w:w="668"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年度总体目标</w:t>
            </w:r>
          </w:p>
        </w:tc>
        <w:tc>
          <w:tcPr>
            <w:tcW w:w="3299" w:type="dxa"/>
            <w:gridSpan w:val="3"/>
            <w:tcBorders>
              <w:top w:val="single" w:color="auto" w:sz="4" w:space="0"/>
              <w:left w:val="nil"/>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预期目标</w:t>
            </w:r>
          </w:p>
        </w:tc>
        <w:tc>
          <w:tcPr>
            <w:tcW w:w="4462" w:type="dxa"/>
            <w:gridSpan w:val="6"/>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b/>
                <w:bCs/>
                <w:sz w:val="24"/>
              </w:rPr>
            </w:pPr>
            <w:r>
              <w:rPr>
                <w:rFonts w:hint="eastAsia" w:ascii="宋体" w:hAnsi="宋体" w:eastAsia="宋体" w:cs="宋体"/>
                <w:b/>
                <w:bCs/>
                <w:color w:val="000000"/>
                <w:kern w:val="0"/>
                <w:sz w:val="24"/>
              </w:rPr>
              <w:t>实际完成目标</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299" w:type="dxa"/>
            <w:gridSpan w:val="3"/>
            <w:tcBorders>
              <w:top w:val="single" w:color="auto" w:sz="4" w:space="0"/>
              <w:left w:val="nil"/>
              <w:bottom w:val="single" w:color="auto" w:sz="4" w:space="0"/>
              <w:right w:val="nil"/>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4"/>
              </w:rPr>
              <w:t>目标1：确保各部门工作顺利开展，保障机关工作正常高效运转，提高工作人员能力，提高资金使用效益。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标2：通过2021年村级干部补贴发放，稳定村干部队伍，确保村干部能够长期、稳定在村级开展各项工作，解决村干部后顾之忧，确保群众能够及时享受到党和国家各项惠民政策，实现社会大局的稳定，不断提高村干部为民服务水平，全面提升人居生活幸福感。</w:t>
            </w:r>
          </w:p>
        </w:tc>
        <w:tc>
          <w:tcPr>
            <w:tcW w:w="4462"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4"/>
              </w:rPr>
              <w:t>目标1：确保各部门工作顺利开展，保障机关工作正常高效运转，提高工作人员能力，提高资金使用效益。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标2：通过2021年村级干部补贴发放，稳定村干部队伍，确保村干部能够长期、稳定在村级开展各项工作，解决村干部后顾之忧，确保群众能够及时享受到党和国家各项惠民政策，实现社会大局的稳定，不断提高村干部为民服务水平，全面提升人居生活幸福感。</w:t>
            </w:r>
          </w:p>
        </w:tc>
      </w:tr>
      <w:tr>
        <w:tblPrEx>
          <w:tblCellMar>
            <w:top w:w="0" w:type="dxa"/>
            <w:left w:w="108" w:type="dxa"/>
            <w:bottom w:w="0" w:type="dxa"/>
            <w:right w:w="108" w:type="dxa"/>
          </w:tblCellMar>
        </w:tblPrEx>
        <w:trPr>
          <w:trHeight w:val="2070" w:hRule="atLeast"/>
        </w:trPr>
        <w:tc>
          <w:tcPr>
            <w:tcW w:w="6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年度绩效指标</w:t>
            </w:r>
          </w:p>
        </w:tc>
        <w:tc>
          <w:tcPr>
            <w:tcW w:w="997"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一级指标</w:t>
            </w:r>
          </w:p>
        </w:tc>
        <w:tc>
          <w:tcPr>
            <w:tcW w:w="1291" w:type="dxa"/>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rPr>
              <w:t>二级指标</w:t>
            </w:r>
          </w:p>
        </w:tc>
        <w:tc>
          <w:tcPr>
            <w:tcW w:w="273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三级指标</w:t>
            </w:r>
          </w:p>
        </w:tc>
        <w:tc>
          <w:tcPr>
            <w:tcW w:w="1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预期指标值（包含数字及文字描述）</w:t>
            </w:r>
          </w:p>
        </w:tc>
        <w:tc>
          <w:tcPr>
            <w:tcW w:w="122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rPr>
              <w:t>实际完成指标值（包含数字及文字描述）</w:t>
            </w:r>
          </w:p>
        </w:tc>
      </w:tr>
      <w:tr>
        <w:tblPrEx>
          <w:tblCellMar>
            <w:top w:w="0" w:type="dxa"/>
            <w:left w:w="108" w:type="dxa"/>
            <w:bottom w:w="0" w:type="dxa"/>
            <w:right w:w="108" w:type="dxa"/>
          </w:tblCellMar>
        </w:tblPrEx>
        <w:trPr>
          <w:trHeight w:val="1096" w:hRule="atLeast"/>
        </w:trPr>
        <w:tc>
          <w:tcPr>
            <w:tcW w:w="668"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97" w:type="dxa"/>
            <w:vMerge w:val="restart"/>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产出指标</w:t>
            </w:r>
          </w:p>
        </w:tc>
        <w:tc>
          <w:tcPr>
            <w:tcW w:w="1291"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数量指标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人员保障人数</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rPr>
              <w:t>≥206人</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pPr>
            <w:r>
              <w:rPr>
                <w:rFonts w:hint="eastAsia" w:ascii="宋体" w:hAnsi="宋体" w:eastAsia="宋体" w:cs="宋体"/>
                <w:color w:val="000000"/>
                <w:kern w:val="0"/>
                <w:sz w:val="24"/>
              </w:rPr>
              <w:t>206人</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日常办公用车保障数量</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=12辆</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12辆</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2021年村级干部补助各类项目人数</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=1359人</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0人</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2021年村级干部发放人员补贴次数</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=12次</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0次</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质量指标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工资及政策社会保障、公用经费保障率</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≥95</w:t>
            </w:r>
            <w:r>
              <w:rPr>
                <w:rStyle w:val="34"/>
                <w:rFonts w:hint="default"/>
              </w:rPr>
              <w:t>%</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95%</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发放资金准确率</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=100%</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100%</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tcBorders>
              <w:top w:val="single" w:color="auto" w:sz="4" w:space="0"/>
              <w:left w:val="single" w:color="auto" w:sz="4" w:space="0"/>
              <w:bottom w:val="single" w:color="000000"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时效指标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发放资金及时性</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≥95%</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95%</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成本指标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保障人员人均支出标准</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≤7.41万元</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7.41万元</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color w:val="000000"/>
                <w:kern w:val="0"/>
                <w:szCs w:val="21"/>
              </w:rPr>
            </w:pPr>
            <w:r>
              <w:rPr>
                <w:rFonts w:hint="eastAsia" w:ascii="宋体" w:hAnsi="宋体" w:eastAsia="宋体" w:cs="宋体"/>
                <w:color w:val="000000"/>
                <w:kern w:val="0"/>
                <w:sz w:val="24"/>
              </w:rPr>
              <w:t>人均运转经费数</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Cs w:val="21"/>
              </w:rPr>
            </w:pPr>
            <w:r>
              <w:rPr>
                <w:rFonts w:hint="eastAsia" w:ascii="宋体" w:hAnsi="宋体" w:eastAsia="宋体" w:cs="宋体"/>
                <w:color w:val="000000"/>
                <w:kern w:val="0"/>
                <w:sz w:val="24"/>
              </w:rPr>
              <w:t>≤0.79万元</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0.79万元</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2021年村级干部补助资金每次发放资金数</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≤291.67万元</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0万元</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效益指标</w:t>
            </w:r>
          </w:p>
        </w:tc>
        <w:tc>
          <w:tcPr>
            <w:tcW w:w="1291"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社会效益指标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促进部门改进文风会风</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有效促进</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有效促进</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提高村干部为民服务水平</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有所提高</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有所提高</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满意度指标</w:t>
            </w:r>
          </w:p>
        </w:tc>
        <w:tc>
          <w:tcPr>
            <w:tcW w:w="1291"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rPr>
              <w:t>满意度指标</w:t>
            </w: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职工满意度</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≥95%</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95%</w:t>
            </w:r>
          </w:p>
        </w:tc>
      </w:tr>
      <w:tr>
        <w:tblPrEx>
          <w:tblCellMar>
            <w:top w:w="0" w:type="dxa"/>
            <w:left w:w="108" w:type="dxa"/>
            <w:bottom w:w="0" w:type="dxa"/>
            <w:right w:w="108" w:type="dxa"/>
          </w:tblCellMar>
        </w:tblPrEx>
        <w:trPr>
          <w:trHeight w:val="285" w:hRule="atLeast"/>
        </w:trPr>
        <w:tc>
          <w:tcPr>
            <w:tcW w:w="668"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7"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1291"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27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color w:val="000000"/>
                <w:kern w:val="0"/>
                <w:sz w:val="24"/>
              </w:rPr>
              <w:t>村干部人员满意度</w:t>
            </w:r>
          </w:p>
        </w:tc>
        <w:tc>
          <w:tcPr>
            <w:tcW w:w="151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sz w:val="24"/>
              </w:rPr>
            </w:pPr>
            <w:r>
              <w:rPr>
                <w:rFonts w:hint="eastAsia" w:ascii="宋体" w:hAnsi="宋体" w:eastAsia="宋体" w:cs="宋体"/>
                <w:color w:val="000000"/>
                <w:kern w:val="0"/>
                <w:sz w:val="24"/>
              </w:rPr>
              <w:t>≥95%</w:t>
            </w:r>
          </w:p>
        </w:tc>
        <w:tc>
          <w:tcPr>
            <w:tcW w:w="12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rPr>
              <w:t>95%</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方正仿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9"/>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23 -</w:t>
        </w:r>
        <w:r>
          <w:rPr>
            <w:rFonts w:asciiTheme="minorEastAsia" w:hAnsi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2547"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74EA7B52"/>
    <w:multiLevelType w:val="multilevel"/>
    <w:tmpl w:val="74EA7B52"/>
    <w:lvl w:ilvl="0" w:tentative="0">
      <w:start w:val="2"/>
      <w:numFmt w:val="decimal"/>
      <w:lvlText w:val="%1、"/>
      <w:lvlJc w:val="left"/>
      <w:pPr>
        <w:ind w:left="1264" w:hanging="720"/>
      </w:pPr>
      <w:rPr>
        <w:rFonts w:hint="default"/>
      </w:rPr>
    </w:lvl>
    <w:lvl w:ilvl="1" w:tentative="0">
      <w:start w:val="1"/>
      <w:numFmt w:val="lowerLetter"/>
      <w:lvlText w:val="%2)"/>
      <w:lvlJc w:val="left"/>
      <w:pPr>
        <w:ind w:left="1384" w:hanging="420"/>
      </w:pPr>
    </w:lvl>
    <w:lvl w:ilvl="2" w:tentative="0">
      <w:start w:val="1"/>
      <w:numFmt w:val="lowerRoman"/>
      <w:lvlText w:val="%3."/>
      <w:lvlJc w:val="right"/>
      <w:pPr>
        <w:ind w:left="1804" w:hanging="420"/>
      </w:pPr>
    </w:lvl>
    <w:lvl w:ilvl="3" w:tentative="0">
      <w:start w:val="1"/>
      <w:numFmt w:val="decimal"/>
      <w:lvlText w:val="%4."/>
      <w:lvlJc w:val="left"/>
      <w:pPr>
        <w:ind w:left="2224" w:hanging="420"/>
      </w:pPr>
    </w:lvl>
    <w:lvl w:ilvl="4" w:tentative="0">
      <w:start w:val="1"/>
      <w:numFmt w:val="lowerLetter"/>
      <w:lvlText w:val="%5)"/>
      <w:lvlJc w:val="left"/>
      <w:pPr>
        <w:ind w:left="2644" w:hanging="420"/>
      </w:pPr>
    </w:lvl>
    <w:lvl w:ilvl="5" w:tentative="0">
      <w:start w:val="1"/>
      <w:numFmt w:val="lowerRoman"/>
      <w:lvlText w:val="%6."/>
      <w:lvlJc w:val="right"/>
      <w:pPr>
        <w:ind w:left="3064" w:hanging="420"/>
      </w:pPr>
    </w:lvl>
    <w:lvl w:ilvl="6" w:tentative="0">
      <w:start w:val="1"/>
      <w:numFmt w:val="decimal"/>
      <w:lvlText w:val="%7."/>
      <w:lvlJc w:val="left"/>
      <w:pPr>
        <w:ind w:left="3484" w:hanging="420"/>
      </w:pPr>
    </w:lvl>
    <w:lvl w:ilvl="7" w:tentative="0">
      <w:start w:val="1"/>
      <w:numFmt w:val="lowerLetter"/>
      <w:lvlText w:val="%8)"/>
      <w:lvlJc w:val="left"/>
      <w:pPr>
        <w:ind w:left="3904" w:hanging="420"/>
      </w:pPr>
    </w:lvl>
    <w:lvl w:ilvl="8" w:tentative="0">
      <w:start w:val="1"/>
      <w:numFmt w:val="lowerRoman"/>
      <w:lvlText w:val="%9."/>
      <w:lvlJc w:val="right"/>
      <w:pPr>
        <w:ind w:left="4324"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134DC"/>
    <w:rsid w:val="00025A44"/>
    <w:rsid w:val="00042177"/>
    <w:rsid w:val="00057A94"/>
    <w:rsid w:val="00072084"/>
    <w:rsid w:val="0008688F"/>
    <w:rsid w:val="0009422A"/>
    <w:rsid w:val="0009604A"/>
    <w:rsid w:val="000A57B4"/>
    <w:rsid w:val="000B6B13"/>
    <w:rsid w:val="000D1DEE"/>
    <w:rsid w:val="000D3AFA"/>
    <w:rsid w:val="000D4474"/>
    <w:rsid w:val="000E3FC9"/>
    <w:rsid w:val="000F2931"/>
    <w:rsid w:val="00101FA4"/>
    <w:rsid w:val="00105D60"/>
    <w:rsid w:val="001121F2"/>
    <w:rsid w:val="00112859"/>
    <w:rsid w:val="001173EB"/>
    <w:rsid w:val="00124EDF"/>
    <w:rsid w:val="00150C4C"/>
    <w:rsid w:val="00191BA3"/>
    <w:rsid w:val="001A2299"/>
    <w:rsid w:val="001A3A0E"/>
    <w:rsid w:val="001F630E"/>
    <w:rsid w:val="002172B1"/>
    <w:rsid w:val="0022744B"/>
    <w:rsid w:val="00234372"/>
    <w:rsid w:val="00234B37"/>
    <w:rsid w:val="00246941"/>
    <w:rsid w:val="002511BF"/>
    <w:rsid w:val="00260A7F"/>
    <w:rsid w:val="002764C7"/>
    <w:rsid w:val="0028463A"/>
    <w:rsid w:val="002A1ACE"/>
    <w:rsid w:val="002D075E"/>
    <w:rsid w:val="002E0122"/>
    <w:rsid w:val="002E1214"/>
    <w:rsid w:val="002E1D5F"/>
    <w:rsid w:val="002F0220"/>
    <w:rsid w:val="00303A08"/>
    <w:rsid w:val="003072FB"/>
    <w:rsid w:val="003226C4"/>
    <w:rsid w:val="003316D1"/>
    <w:rsid w:val="00360703"/>
    <w:rsid w:val="00384E4B"/>
    <w:rsid w:val="003A35A3"/>
    <w:rsid w:val="003B3ADF"/>
    <w:rsid w:val="003C78BA"/>
    <w:rsid w:val="003E3DEF"/>
    <w:rsid w:val="003E7C70"/>
    <w:rsid w:val="003F5A82"/>
    <w:rsid w:val="0045322C"/>
    <w:rsid w:val="00473003"/>
    <w:rsid w:val="0049337C"/>
    <w:rsid w:val="004B2A8A"/>
    <w:rsid w:val="004C4C4D"/>
    <w:rsid w:val="004C6FF3"/>
    <w:rsid w:val="004E69F5"/>
    <w:rsid w:val="004E7AAC"/>
    <w:rsid w:val="00501F39"/>
    <w:rsid w:val="005312F4"/>
    <w:rsid w:val="00531A31"/>
    <w:rsid w:val="00533C6C"/>
    <w:rsid w:val="00593943"/>
    <w:rsid w:val="005A08A8"/>
    <w:rsid w:val="005B1250"/>
    <w:rsid w:val="005C0D08"/>
    <w:rsid w:val="005C33CE"/>
    <w:rsid w:val="005E5CDB"/>
    <w:rsid w:val="006225D7"/>
    <w:rsid w:val="00633862"/>
    <w:rsid w:val="0063734B"/>
    <w:rsid w:val="006379B7"/>
    <w:rsid w:val="006413B6"/>
    <w:rsid w:val="0066754F"/>
    <w:rsid w:val="006706C6"/>
    <w:rsid w:val="006910A7"/>
    <w:rsid w:val="00691310"/>
    <w:rsid w:val="006A7181"/>
    <w:rsid w:val="006A7CF8"/>
    <w:rsid w:val="006C5BED"/>
    <w:rsid w:val="006D3947"/>
    <w:rsid w:val="006D694A"/>
    <w:rsid w:val="00702D4A"/>
    <w:rsid w:val="007115C8"/>
    <w:rsid w:val="00713ADC"/>
    <w:rsid w:val="00725B9A"/>
    <w:rsid w:val="00743EC8"/>
    <w:rsid w:val="00754721"/>
    <w:rsid w:val="007713F8"/>
    <w:rsid w:val="007718C7"/>
    <w:rsid w:val="007A7463"/>
    <w:rsid w:val="007A7491"/>
    <w:rsid w:val="007A7874"/>
    <w:rsid w:val="00800784"/>
    <w:rsid w:val="00817432"/>
    <w:rsid w:val="00833338"/>
    <w:rsid w:val="00836499"/>
    <w:rsid w:val="008614D8"/>
    <w:rsid w:val="008717D1"/>
    <w:rsid w:val="00875327"/>
    <w:rsid w:val="00886879"/>
    <w:rsid w:val="00890FC2"/>
    <w:rsid w:val="008A6145"/>
    <w:rsid w:val="008E3F8A"/>
    <w:rsid w:val="008F2D91"/>
    <w:rsid w:val="00923468"/>
    <w:rsid w:val="00925EAD"/>
    <w:rsid w:val="00942A68"/>
    <w:rsid w:val="00952782"/>
    <w:rsid w:val="0095580D"/>
    <w:rsid w:val="00972D3E"/>
    <w:rsid w:val="0097614B"/>
    <w:rsid w:val="00981889"/>
    <w:rsid w:val="00992D45"/>
    <w:rsid w:val="009947F5"/>
    <w:rsid w:val="009A1625"/>
    <w:rsid w:val="009E5FF8"/>
    <w:rsid w:val="009F06F4"/>
    <w:rsid w:val="00A05135"/>
    <w:rsid w:val="00A427A1"/>
    <w:rsid w:val="00A42882"/>
    <w:rsid w:val="00A43D21"/>
    <w:rsid w:val="00A53C6D"/>
    <w:rsid w:val="00A55238"/>
    <w:rsid w:val="00A64386"/>
    <w:rsid w:val="00A962CE"/>
    <w:rsid w:val="00AA5126"/>
    <w:rsid w:val="00AC4471"/>
    <w:rsid w:val="00AD16CD"/>
    <w:rsid w:val="00AD3700"/>
    <w:rsid w:val="00AF42EB"/>
    <w:rsid w:val="00B130FE"/>
    <w:rsid w:val="00B13CD7"/>
    <w:rsid w:val="00B34A48"/>
    <w:rsid w:val="00B407C3"/>
    <w:rsid w:val="00B666A1"/>
    <w:rsid w:val="00BA1454"/>
    <w:rsid w:val="00BA1F21"/>
    <w:rsid w:val="00BA6B7B"/>
    <w:rsid w:val="00C20BED"/>
    <w:rsid w:val="00C269EE"/>
    <w:rsid w:val="00C26A8D"/>
    <w:rsid w:val="00C42609"/>
    <w:rsid w:val="00C4673D"/>
    <w:rsid w:val="00C76454"/>
    <w:rsid w:val="00C81F75"/>
    <w:rsid w:val="00CA3AC9"/>
    <w:rsid w:val="00CB1C9D"/>
    <w:rsid w:val="00CC7606"/>
    <w:rsid w:val="00CD2F35"/>
    <w:rsid w:val="00CD4D2C"/>
    <w:rsid w:val="00CE16E7"/>
    <w:rsid w:val="00CE5496"/>
    <w:rsid w:val="00CE61DB"/>
    <w:rsid w:val="00D16562"/>
    <w:rsid w:val="00D20CA1"/>
    <w:rsid w:val="00D26F3D"/>
    <w:rsid w:val="00D278CF"/>
    <w:rsid w:val="00D6019C"/>
    <w:rsid w:val="00D77626"/>
    <w:rsid w:val="00D81EE2"/>
    <w:rsid w:val="00DA67B8"/>
    <w:rsid w:val="00DB1085"/>
    <w:rsid w:val="00DD223C"/>
    <w:rsid w:val="00DD53E9"/>
    <w:rsid w:val="00E213C7"/>
    <w:rsid w:val="00E41A31"/>
    <w:rsid w:val="00E655A3"/>
    <w:rsid w:val="00E7188B"/>
    <w:rsid w:val="00E80867"/>
    <w:rsid w:val="00EF0F74"/>
    <w:rsid w:val="00F006BD"/>
    <w:rsid w:val="00F17550"/>
    <w:rsid w:val="00F25EB4"/>
    <w:rsid w:val="00F27120"/>
    <w:rsid w:val="00F31F34"/>
    <w:rsid w:val="00F33AED"/>
    <w:rsid w:val="00F341E0"/>
    <w:rsid w:val="00F36401"/>
    <w:rsid w:val="00F42445"/>
    <w:rsid w:val="00F44FCC"/>
    <w:rsid w:val="00F54932"/>
    <w:rsid w:val="00F74974"/>
    <w:rsid w:val="00F829DE"/>
    <w:rsid w:val="00F84215"/>
    <w:rsid w:val="00F85BB3"/>
    <w:rsid w:val="00F91CBB"/>
    <w:rsid w:val="0E9A5E97"/>
    <w:rsid w:val="1EB60E4D"/>
    <w:rsid w:val="4A504F2E"/>
    <w:rsid w:val="59B80C41"/>
    <w:rsid w:val="6814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32"/>
    <w:qFormat/>
    <w:uiPriority w:val="99"/>
    <w:pPr>
      <w:pBdr>
        <w:top w:val="none" w:color="auto" w:sz="0" w:space="1"/>
        <w:left w:val="none" w:color="auto" w:sz="0" w:space="4"/>
        <w:bottom w:val="none" w:color="auto" w:sz="0" w:space="1"/>
        <w:right w:val="none" w:color="auto" w:sz="0" w:space="4"/>
      </w:pBdr>
      <w:adjustRightInd w:val="0"/>
      <w:snapToGrid w:val="0"/>
      <w:spacing w:line="560" w:lineRule="exact"/>
    </w:pPr>
    <w:rPr>
      <w:rFonts w:ascii="Times New Roman" w:hAnsi="Times New Roman" w:eastAsia="方正仿宋简体"/>
      <w:sz w:val="32"/>
      <w:szCs w:val="32"/>
    </w:rPr>
  </w:style>
  <w:style w:type="paragraph" w:styleId="7">
    <w:name w:val="toc 3"/>
    <w:basedOn w:val="1"/>
    <w:next w:val="1"/>
    <w:unhideWhenUsed/>
    <w:qFormat/>
    <w:uiPriority w:val="39"/>
    <w:pPr>
      <w:ind w:left="840" w:leftChars="400"/>
    </w:pPr>
  </w:style>
  <w:style w:type="paragraph" w:styleId="8">
    <w:name w:val="Balloon Text"/>
    <w:basedOn w:val="1"/>
    <w:link w:val="35"/>
    <w:semiHidden/>
    <w:unhideWhenUsed/>
    <w:qFormat/>
    <w:uiPriority w:val="99"/>
    <w:rPr>
      <w:sz w:val="18"/>
      <w:szCs w:val="18"/>
    </w:rPr>
  </w:style>
  <w:style w:type="paragraph" w:styleId="9">
    <w:name w:val="footer"/>
    <w:basedOn w:val="1"/>
    <w:link w:val="21"/>
    <w:unhideWhenUsed/>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rPr>
  </w:style>
  <w:style w:type="character" w:customStyle="1" w:styleId="20">
    <w:name w:val="页眉 Char"/>
    <w:basedOn w:val="17"/>
    <w:link w:val="10"/>
    <w:qFormat/>
    <w:uiPriority w:val="99"/>
    <w:rPr>
      <w:sz w:val="18"/>
      <w:szCs w:val="18"/>
    </w:rPr>
  </w:style>
  <w:style w:type="character" w:customStyle="1" w:styleId="21">
    <w:name w:val="页脚 Char"/>
    <w:basedOn w:val="17"/>
    <w:link w:val="9"/>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Char"/>
    <w:basedOn w:val="17"/>
    <w:link w:val="15"/>
    <w:qFormat/>
    <w:uiPriority w:val="10"/>
    <w:rPr>
      <w:rFonts w:asciiTheme="majorHAnsi" w:hAnsiTheme="majorHAnsi" w:eastAsiaTheme="majorEastAsia" w:cstheme="majorBidi"/>
      <w:b/>
      <w:bCs/>
      <w:sz w:val="32"/>
      <w:szCs w:val="32"/>
    </w:rPr>
  </w:style>
  <w:style w:type="character" w:customStyle="1" w:styleId="24">
    <w:name w:val="标题 2 Char"/>
    <w:basedOn w:val="17"/>
    <w:link w:val="3"/>
    <w:qFormat/>
    <w:uiPriority w:val="9"/>
    <w:rPr>
      <w:rFonts w:asciiTheme="majorHAnsi" w:hAnsiTheme="majorHAnsi" w:eastAsiaTheme="majorEastAsia" w:cstheme="majorBidi"/>
      <w:b/>
      <w:bCs/>
      <w:sz w:val="32"/>
      <w:szCs w:val="32"/>
    </w:rPr>
  </w:style>
  <w:style w:type="character" w:customStyle="1" w:styleId="25">
    <w:name w:val="副标题 Char"/>
    <w:basedOn w:val="17"/>
    <w:link w:val="12"/>
    <w:qFormat/>
    <w:uiPriority w:val="11"/>
    <w:rPr>
      <w:b/>
      <w:bCs/>
      <w:kern w:val="28"/>
      <w:sz w:val="32"/>
      <w:szCs w:val="32"/>
    </w:rPr>
  </w:style>
  <w:style w:type="character" w:customStyle="1" w:styleId="26">
    <w:name w:val="标题 3 Char"/>
    <w:basedOn w:val="17"/>
    <w:link w:val="4"/>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Char"/>
    <w:basedOn w:val="17"/>
    <w:link w:val="2"/>
    <w:qFormat/>
    <w:uiPriority w:val="9"/>
    <w:rPr>
      <w:b/>
      <w:bCs/>
      <w:kern w:val="44"/>
      <w:sz w:val="44"/>
      <w:szCs w:val="44"/>
    </w:rPr>
  </w:style>
  <w:style w:type="paragraph" w:customStyle="1" w:styleId="2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30">
    <w:name w:val="标题 4 Char"/>
    <w:basedOn w:val="17"/>
    <w:link w:val="5"/>
    <w:qFormat/>
    <w:uiPriority w:val="9"/>
    <w:rPr>
      <w:rFonts w:asciiTheme="majorHAnsi" w:hAnsiTheme="majorHAnsi" w:eastAsiaTheme="majorEastAsia" w:cstheme="majorBidi"/>
      <w:b/>
      <w:bCs/>
      <w:sz w:val="28"/>
      <w:szCs w:val="28"/>
    </w:rPr>
  </w:style>
  <w:style w:type="paragraph" w:customStyle="1" w:styleId="31">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 w:type="character" w:customStyle="1" w:styleId="32">
    <w:name w:val="正文文本 Char"/>
    <w:basedOn w:val="17"/>
    <w:link w:val="6"/>
    <w:qFormat/>
    <w:uiPriority w:val="99"/>
    <w:rPr>
      <w:rFonts w:ascii="Times New Roman" w:hAnsi="Times New Roman" w:eastAsia="方正仿宋简体"/>
      <w:kern w:val="2"/>
      <w:sz w:val="32"/>
      <w:szCs w:val="32"/>
    </w:rPr>
  </w:style>
  <w:style w:type="paragraph" w:customStyle="1" w:styleId="33">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 w:type="character" w:customStyle="1" w:styleId="34">
    <w:name w:val="font51"/>
    <w:basedOn w:val="17"/>
    <w:qFormat/>
    <w:uiPriority w:val="0"/>
    <w:rPr>
      <w:rFonts w:hint="eastAsia" w:ascii="宋体" w:hAnsi="宋体" w:eastAsia="宋体" w:cs="宋体"/>
      <w:strike/>
      <w:color w:val="000000"/>
      <w:sz w:val="24"/>
      <w:szCs w:val="24"/>
    </w:rPr>
  </w:style>
  <w:style w:type="character" w:customStyle="1" w:styleId="35">
    <w:name w:val="批注框文本 Char"/>
    <w:basedOn w:val="17"/>
    <w:link w:val="8"/>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12019</Words>
  <Characters>12888</Characters>
  <Lines>11</Lines>
  <Paragraphs>26</Paragraphs>
  <TotalTime>1</TotalTime>
  <ScaleCrop>false</ScaleCrop>
  <LinksUpToDate>false</LinksUpToDate>
  <CharactersWithSpaces>12969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2022-05-24T12:36:49Z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901DFED922FE427FBB605BEE293E99B1</vt:lpwstr>
  </property>
</Properties>
</file>